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1.0.0 -->
  <w:body>
    <w:p w:rsidR="00BC0214" w:rsidRPr="006642F4" w:rsidP="00BC0214">
      <w:pPr>
        <w:pStyle w:val="BodyText"/>
        <w:jc w:val="center"/>
        <w:rPr>
          <w:b/>
        </w:rPr>
      </w:pPr>
      <w:r w:rsidRPr="006642F4">
        <w:rPr>
          <w:b/>
        </w:rPr>
        <w:t>IMPORTANT NOTICE</w:t>
      </w:r>
    </w:p>
    <w:p w:rsidR="00BC0214" w:rsidRPr="00BC0214" w:rsidP="00BC0214">
      <w:pPr>
        <w:pStyle w:val="Title7"/>
        <w:rPr>
          <w:b/>
        </w:rPr>
      </w:pPr>
      <w:r w:rsidRPr="00BC0214">
        <w:rPr>
          <w:b/>
        </w:rPr>
        <w:t>In accessing the attached base prospectus supplement (the "Supplement") you agree to be bound by the following terms and conditions.</w:t>
      </w:r>
    </w:p>
    <w:p w:rsidR="00BC0214" w:rsidRPr="00CC7A2A" w:rsidP="00BC0214">
      <w:pPr>
        <w:pStyle w:val="BodyText"/>
      </w:pPr>
      <w:r w:rsidRPr="00CC7A2A">
        <w:t xml:space="preserve">The information contained in the Supplement may be addressed to and/or targeted at persons who are residents of particular countries only as specified in the Base Prospectus (as defined in the Supplement) and is not intended for use, and should not be relied upon, by any person </w:t>
      </w:r>
      <w:r w:rsidRPr="006642F4">
        <w:t>outside</w:t>
      </w:r>
      <w:r w:rsidRPr="00CC7A2A">
        <w:t xml:space="preserve"> those countries.  </w:t>
      </w:r>
      <w:r w:rsidRPr="00CC7A2A">
        <w:rPr>
          <w:b/>
          <w:bCs/>
        </w:rPr>
        <w:t>Prior to relying on the information contained in the Supplement, you must ascertain from the Base Prospectus whether or not you are an intended addressee of, and eligible to view, the information contained therein.</w:t>
      </w:r>
      <w:r w:rsidRPr="00CC7A2A">
        <w:t xml:space="preserve">  </w:t>
      </w:r>
    </w:p>
    <w:p w:rsidR="00BC0214" w:rsidRPr="00CC7A2A" w:rsidP="00BC0214">
      <w:pPr>
        <w:pStyle w:val="BodyText"/>
      </w:pPr>
      <w:r w:rsidRPr="00CC7A2A">
        <w:t xml:space="preserve">The Supplement and the Base Prospectus do not constitute, and may not be used in connection with, an offer to sell or the solicitation of an offer to buy securities in the United States or any other jurisdiction in which such offer, solicitation or sale would be unlawful prior to registration, exemption from registration or qualification under the securities law of any such jurisdiction. </w:t>
      </w:r>
    </w:p>
    <w:p w:rsidR="00BC0214" w:rsidRPr="00CC7A2A" w:rsidP="00BC0214">
      <w:pPr>
        <w:pStyle w:val="BodyText"/>
      </w:pPr>
      <w:r w:rsidRPr="00CC7A2A">
        <w:t>The securities described in the Supplement and the Base Prospectus have not been and will not be registered under the United States Securities Act of 1933, as amended (the "</w:t>
      </w:r>
      <w:r w:rsidRPr="00CC7A2A">
        <w:rPr>
          <w:b/>
          <w:bCs/>
        </w:rPr>
        <w:t>Securities Act</w:t>
      </w:r>
      <w:r w:rsidRPr="00CC7A2A">
        <w:t>"), or with any securities regulatory authority of any state or other jurisdiction of the united states and may include notes in bearer form that are subject to U.S. tax law requirements. Subject to certain exceptions, such securities may not be offered, sold or delivered within the United States or to, or for the account or benefit of, U.S. persons (as defined in Regulation S under the Securities Act ("</w:t>
      </w:r>
      <w:r w:rsidRPr="00CC7A2A">
        <w:rPr>
          <w:b/>
          <w:bCs/>
        </w:rPr>
        <w:t>Regulation S</w:t>
      </w:r>
      <w:r w:rsidRPr="00CC7A2A">
        <w:t>")).  The securities described in the Supplement and the Base Prospectus will only be offered in offshore transactions to non-U.S. persons in reliance upon Regulation S.</w:t>
      </w:r>
    </w:p>
    <w:p w:rsidR="00BC0214" w:rsidP="00BC0214">
      <w:pPr>
        <w:pStyle w:val="BodyText"/>
      </w:pPr>
      <w:r w:rsidRPr="00CC7A2A">
        <w:t>For a more complete description of restrictions on offers and sales of the securities described in the Supplement and the Base Prospectus, see pages ii to vii and the section "</w:t>
      </w:r>
      <w:r w:rsidRPr="00CC7A2A">
        <w:rPr>
          <w:i/>
          <w:iCs/>
        </w:rPr>
        <w:t>Subscription and Sale</w:t>
      </w:r>
      <w:r w:rsidRPr="00CC7A2A">
        <w:t>" in the Base Prospectus.</w:t>
      </w:r>
      <w:r>
        <w:t xml:space="preserve"> </w:t>
      </w:r>
    </w:p>
    <w:p w:rsidR="008D78E3" w:rsidP="00BC0214">
      <w:pPr>
        <w:pStyle w:val="BodyText"/>
        <w:sectPr w:rsidSect="008D78E3">
          <w:footerReference w:type="default" r:id="rId12"/>
          <w:headerReference w:type="first" r:id="rId13"/>
          <w:footerReference w:type="first" r:id="rId14"/>
          <w:pgSz w:w="11906" w:h="16838"/>
          <w:pgMar w:top="1440" w:right="1701" w:bottom="1440" w:left="1701" w:header="720" w:footer="284" w:gutter="0"/>
          <w:cols w:space="708"/>
          <w:titlePg/>
          <w:docGrid w:linePitch="360"/>
        </w:sectPr>
      </w:pPr>
    </w:p>
    <w:p w:rsidR="00E55762" w:rsidRPr="00CC7A2A" w:rsidP="00E55762">
      <w:pPr>
        <w:pStyle w:val="BodyText"/>
        <w:jc w:val="center"/>
        <w:rPr>
          <w:b/>
          <w:lang w:val="sv-SE"/>
        </w:rPr>
      </w:pPr>
      <w:r w:rsidRPr="00CC7A2A">
        <w:rPr>
          <w:b/>
          <w:lang w:val="sv-SE"/>
        </w:rPr>
        <w:t>VIKTIG INFORMATION</w:t>
      </w:r>
    </w:p>
    <w:p w:rsidR="00E55762" w:rsidRPr="00CC7A2A" w:rsidP="00E55762">
      <w:pPr>
        <w:pStyle w:val="BodyText"/>
        <w:rPr>
          <w:b/>
          <w:bCs/>
          <w:i/>
          <w:iCs/>
          <w:lang w:val="sv-SE"/>
        </w:rPr>
      </w:pPr>
      <w:r w:rsidRPr="00CC7A2A">
        <w:rPr>
          <w:b/>
          <w:bCs/>
          <w:i/>
          <w:iCs/>
          <w:lang w:val="sv-SE"/>
        </w:rPr>
        <w:t>När du tar del av detta tillägg till grundprospekt ("Tilläggsprospektet") godtar du att bli bunden av följande villkor.</w:t>
      </w:r>
    </w:p>
    <w:p w:rsidR="00E55762" w:rsidRPr="00CC7A2A" w:rsidP="00E55762">
      <w:pPr>
        <w:pStyle w:val="BodyText"/>
        <w:rPr>
          <w:b/>
          <w:lang w:val="sv-SE"/>
        </w:rPr>
      </w:pPr>
      <w:r w:rsidRPr="00CC7A2A">
        <w:rPr>
          <w:lang w:val="sv-SE"/>
        </w:rPr>
        <w:t xml:space="preserve">Informationen i detta Tilläggsprospekt kan vara adresserad till och/eller riktad till personer som bor i särskilda länder som endast anges i Grundprospektet (såsom definierat i Tilläggsprospektet) och är inte avsedd för användning och ska inte förlitas på av någon person utanför de länderna. </w:t>
      </w:r>
      <w:r w:rsidRPr="00CC7A2A">
        <w:rPr>
          <w:b/>
          <w:lang w:val="sv-SE"/>
        </w:rPr>
        <w:t>Innan du förlitar dig på innehållet i detta Tilläggsprospekt måste du säkerställa genom Grundprospektet att du är en avsedd adressat av, och behörig att ta del av, informationen däri.</w:t>
      </w:r>
    </w:p>
    <w:p w:rsidR="00E55762" w:rsidRPr="00CC7A2A" w:rsidP="00E55762">
      <w:pPr>
        <w:pStyle w:val="BodyText"/>
        <w:rPr>
          <w:lang w:val="sv-SE"/>
        </w:rPr>
      </w:pPr>
      <w:r w:rsidRPr="00CC7A2A">
        <w:rPr>
          <w:lang w:val="sv-SE"/>
        </w:rPr>
        <w:t>Tilläggsprospektet och Grundprospektet utgör inte, och får inte användas i samband med, ett erbjudande att sälja eller en inbjudan att köpa värdepapper i USA eller i någon annan jurisdiktion i vilken ett sådant erbjudande, inbjudan eller försäljning skulle vara olagligt utan registrering, ett undantag från registrering eller kvalificering enligt annan bestämmelse under värdepapperslagarna i en sådan jurisdiktion.</w:t>
      </w:r>
    </w:p>
    <w:p w:rsidR="00E55762" w:rsidRPr="00CC7A2A" w:rsidP="00E55762">
      <w:pPr>
        <w:pStyle w:val="BodyText"/>
        <w:rPr>
          <w:lang w:val="sv-SE"/>
        </w:rPr>
      </w:pPr>
      <w:r w:rsidRPr="00CC7A2A">
        <w:rPr>
          <w:lang w:val="sv-SE"/>
        </w:rPr>
        <w:t>De värdepapper som beskrivs i Tilläggsprospektet och i Grundprospektet har inte, och kommer inte, att registreras i enlighet med U.S. Securities Act of 1933, såsom den har ändrats ("</w:t>
      </w:r>
      <w:r w:rsidRPr="00CC7A2A">
        <w:rPr>
          <w:b/>
          <w:lang w:val="sv-SE"/>
        </w:rPr>
        <w:t>Securities</w:t>
      </w:r>
      <w:r w:rsidRPr="00CC7A2A">
        <w:rPr>
          <w:lang w:val="sv-SE"/>
        </w:rPr>
        <w:t xml:space="preserve"> </w:t>
      </w:r>
      <w:r w:rsidRPr="00CC7A2A">
        <w:rPr>
          <w:b/>
          <w:lang w:val="sv-SE"/>
        </w:rPr>
        <w:t>Act</w:t>
      </w:r>
      <w:r>
        <w:rPr>
          <w:b/>
          <w:lang w:val="sv-SE"/>
        </w:rPr>
        <w:fldChar w:fldCharType="begin"/>
      </w:r>
      <w:r w:rsidRPr="0067412A">
        <w:rPr>
          <w:lang w:val="sv-SE"/>
        </w:rPr>
        <w:instrText xml:space="preserve"> XE "</w:instrText>
      </w:r>
      <w:r w:rsidRPr="00D436A6">
        <w:rPr>
          <w:lang w:val="sv-SE"/>
        </w:rPr>
        <w:instrText>Securities Act</w:instrText>
      </w:r>
      <w:r w:rsidRPr="0067412A">
        <w:rPr>
          <w:lang w:val="sv-SE"/>
        </w:rPr>
        <w:instrText xml:space="preserve">" </w:instrText>
      </w:r>
      <w:r>
        <w:rPr>
          <w:b/>
          <w:lang w:val="sv-SE"/>
        </w:rPr>
        <w:fldChar w:fldCharType="end"/>
      </w:r>
      <w:r w:rsidRPr="00CC7A2A">
        <w:rPr>
          <w:lang w:val="sv-SE"/>
        </w:rPr>
        <w:t>"), eller vid någon regulatorisk myndighet för värdepapper i någon stat eller annan jurisdiktion av de förenta staterna och kan inkludera fysiska värdepapper som är föremål för krav enligt amerikansk skattelagstiftning. Med förbehåll för vissa undantag, får värdepapperen inte erbjudas eller säljas direkt eller indirekt inom USA eller till, för, eller till förmån för, U.S. persons (såsom begreppet definieras i Regulation S i Securities Act ("</w:t>
      </w:r>
      <w:r w:rsidRPr="00CC7A2A">
        <w:rPr>
          <w:b/>
          <w:lang w:val="sv-SE"/>
        </w:rPr>
        <w:t>Regulation</w:t>
      </w:r>
      <w:r w:rsidRPr="00CC7A2A">
        <w:rPr>
          <w:lang w:val="sv-SE"/>
        </w:rPr>
        <w:t xml:space="preserve"> </w:t>
      </w:r>
      <w:r w:rsidRPr="00CC7A2A">
        <w:rPr>
          <w:b/>
          <w:lang w:val="sv-SE"/>
        </w:rPr>
        <w:t>S</w:t>
      </w:r>
      <w:r>
        <w:rPr>
          <w:b/>
          <w:lang w:val="sv-SE"/>
        </w:rPr>
        <w:fldChar w:fldCharType="begin"/>
      </w:r>
      <w:r w:rsidRPr="0067412A">
        <w:rPr>
          <w:lang w:val="sv-SE"/>
        </w:rPr>
        <w:instrText xml:space="preserve"> XE "</w:instrText>
      </w:r>
      <w:r w:rsidRPr="008A3850">
        <w:rPr>
          <w:lang w:val="sv-SE"/>
        </w:rPr>
        <w:instrText>Regulation S</w:instrText>
      </w:r>
      <w:r w:rsidRPr="0067412A">
        <w:rPr>
          <w:lang w:val="sv-SE"/>
        </w:rPr>
        <w:instrText xml:space="preserve">" </w:instrText>
      </w:r>
      <w:r>
        <w:rPr>
          <w:b/>
          <w:lang w:val="sv-SE"/>
        </w:rPr>
        <w:fldChar w:fldCharType="end"/>
      </w:r>
      <w:r w:rsidRPr="00CC7A2A">
        <w:rPr>
          <w:lang w:val="sv-SE"/>
        </w:rPr>
        <w:t>")). De värdepapper som beskrivs i Tilläggsprospektet och Grundprospektet kommer endast erbjudas i offshore-transaktioner till personer som inte är U.S. persons i enlighet med Regulation S.</w:t>
      </w:r>
    </w:p>
    <w:p w:rsidR="00E55762" w:rsidP="00E55762">
      <w:pPr>
        <w:pStyle w:val="BodyText"/>
        <w:rPr>
          <w:lang w:val="sv-SE"/>
        </w:rPr>
      </w:pPr>
      <w:r w:rsidRPr="00CC7A2A">
        <w:rPr>
          <w:lang w:val="sv-SE"/>
        </w:rPr>
        <w:t>För en mer komplett beskrivning av restriktionerna för erbjudanden och försäljning av värdepapperen som beskrivs i Tilläggsprospektet och Grundprospektet, se sidorna ii till vii och avsnittet "</w:t>
      </w:r>
      <w:r w:rsidRPr="00CC7A2A">
        <w:rPr>
          <w:i/>
          <w:lang w:val="sv-SE"/>
        </w:rPr>
        <w:t>Teckning och Försäljning</w:t>
      </w:r>
      <w:r>
        <w:rPr>
          <w:lang w:val="sv-SE"/>
        </w:rPr>
        <w:t>" i Grundprospektet.</w:t>
      </w:r>
    </w:p>
    <w:p w:rsidR="00E55762" w:rsidP="00E55762">
      <w:pPr>
        <w:pStyle w:val="BodyText"/>
        <w:rPr>
          <w:lang w:val="sv-SE"/>
        </w:rPr>
      </w:pPr>
      <w:r>
        <w:rPr>
          <w:lang w:val="sv-SE"/>
        </w:rPr>
        <w:br w:type="page"/>
      </w:r>
    </w:p>
    <w:p w:rsidR="00BC0214" w:rsidRPr="004A13B7" w:rsidP="00BC0214">
      <w:pPr>
        <w:pStyle w:val="Title1"/>
        <w:widowControl w:val="0"/>
        <w:spacing w:after="240"/>
        <w:jc w:val="left"/>
        <w:rPr>
          <w:rFonts w:hint="eastAsia"/>
        </w:rPr>
      </w:pPr>
      <w:r>
        <w:t>SUPPLEMENT NO. 4</w:t>
      </w:r>
      <w:r w:rsidRPr="004A13B7">
        <w:t xml:space="preserve"> DATED </w:t>
      </w:r>
      <w:r w:rsidR="00D32B7D">
        <w:t>5</w:t>
      </w:r>
      <w:r>
        <w:t xml:space="preserve"> JANUARY 2017</w:t>
      </w:r>
      <w:r w:rsidRPr="004A13B7">
        <w:t xml:space="preserve"> TO THE BASE PROSPECTUS DATED</w:t>
      </w:r>
      <w:r w:rsidRPr="004A13B7">
        <w:rPr>
          <w:rFonts w:hint="eastAsia"/>
        </w:rPr>
        <w:t> </w:t>
      </w:r>
      <w:r>
        <w:t>15 June 2016</w:t>
      </w:r>
    </w:p>
    <w:p w:rsidR="00BC0214" w:rsidRPr="004A13B7" w:rsidP="00BC0214">
      <w:pPr>
        <w:pStyle w:val="BodyText"/>
        <w:widowControl w:val="0"/>
        <w:spacing w:after="0"/>
        <w:jc w:val="center"/>
        <w:rPr>
          <w:b/>
          <w:bCs/>
          <w:szCs w:val="20"/>
        </w:rPr>
      </w:pPr>
      <w:r>
        <w:rPr>
          <w:noProof/>
          <w:lang w:eastAsia="en-GB"/>
        </w:rPr>
        <w:drawing>
          <wp:inline distT="0" distB="0" distL="0" distR="0">
            <wp:extent cx="2380824" cy="1017335"/>
            <wp:effectExtent l="0" t="0" r="0" b="0"/>
            <wp:docPr id="18" name="Picture 4" descr="http://www.nordea.com/Images/33-112350/Nordea_Masterbrand_500p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rdea.com/Images/33-112350/Nordea_Masterbrand_500px_RGB.png"/>
                    <pic:cNvPicPr>
                      <a:picLocks noChangeAspect="1" noChangeArrowheads="1"/>
                    </pic:cNvPicPr>
                  </pic:nvPicPr>
                  <pic:blipFill>
                    <a:blip xmlns:r="http://schemas.openxmlformats.org/officeDocument/2006/relationships" r:embed="rId15" cstate="print"/>
                    <a:srcRect/>
                    <a:stretch>
                      <a:fillRect/>
                    </a:stretch>
                  </pic:blipFill>
                  <pic:spPr bwMode="auto">
                    <a:xfrm>
                      <a:off x="0" y="0"/>
                      <a:ext cx="2394782" cy="1023299"/>
                    </a:xfrm>
                    <a:prstGeom prst="rect">
                      <a:avLst/>
                    </a:prstGeom>
                    <a:noFill/>
                    <a:ln w="9525">
                      <a:noFill/>
                      <a:miter lim="800000"/>
                      <a:headEnd/>
                      <a:tailEnd/>
                    </a:ln>
                  </pic:spPr>
                </pic:pic>
              </a:graphicData>
            </a:graphic>
          </wp:inline>
        </w:drawing>
      </w:r>
    </w:p>
    <w:p w:rsidR="00BC0214" w:rsidRPr="004A13B7" w:rsidP="00FB71B0">
      <w:pPr>
        <w:pStyle w:val="CoverPage4"/>
        <w:spacing w:after="120"/>
      </w:pPr>
      <w:r w:rsidRPr="004A13B7">
        <w:t>NORDEA BANK AB (PUBL)</w:t>
      </w:r>
    </w:p>
    <w:p w:rsidR="00BC0214" w:rsidP="00FB71B0">
      <w:pPr>
        <w:pStyle w:val="CoverPage2"/>
        <w:spacing w:after="120"/>
      </w:pPr>
      <w:r w:rsidRPr="004A13B7">
        <w:t>(Incorporated with limited liability in the Kingdom of Sweden)</w:t>
      </w:r>
    </w:p>
    <w:p w:rsidR="00BC0214" w:rsidRPr="006A7B09" w:rsidP="006A7B09">
      <w:pPr>
        <w:pStyle w:val="CoverPage6"/>
        <w:rPr>
          <w:b/>
        </w:rPr>
      </w:pPr>
      <w:r w:rsidRPr="006A7B09">
        <w:rPr>
          <w:b/>
        </w:rPr>
        <w:t>Programme for the Issuance of Warrants and Certificates</w:t>
      </w:r>
    </w:p>
    <w:p w:rsidR="00BC0214" w:rsidRPr="004A13B7" w:rsidP="00BC0214">
      <w:pPr>
        <w:pStyle w:val="BodyText"/>
        <w:widowControl w:val="0"/>
        <w:rPr>
          <w:szCs w:val="20"/>
        </w:rPr>
      </w:pPr>
      <w:r w:rsidRPr="004A13B7">
        <w:rPr>
          <w:szCs w:val="20"/>
        </w:rPr>
        <w:t xml:space="preserve">This </w:t>
      </w:r>
      <w:r>
        <w:rPr>
          <w:szCs w:val="20"/>
        </w:rPr>
        <w:t>supplement no. 4</w:t>
      </w:r>
      <w:r w:rsidRPr="004A13B7">
        <w:rPr>
          <w:szCs w:val="20"/>
        </w:rPr>
        <w:t xml:space="preserve"> (the "</w:t>
      </w:r>
      <w:r w:rsidRPr="004A13B7">
        <w:rPr>
          <w:b/>
          <w:bCs/>
          <w:szCs w:val="20"/>
        </w:rPr>
        <w:t>Supplement</w:t>
      </w:r>
      <w:r w:rsidRPr="004A13B7">
        <w:rPr>
          <w:szCs w:val="20"/>
        </w:rPr>
        <w:t>") is supplemental to, and must be read in conjunction with, the base p</w:t>
      </w:r>
      <w:r>
        <w:rPr>
          <w:szCs w:val="20"/>
        </w:rPr>
        <w:t>rospectus dated 15 June 2016, the supplement no. 1 dated 12 August 2016, the supplement no. 2 dated 3 October</w:t>
      </w:r>
      <w:r w:rsidR="00F3587A">
        <w:rPr>
          <w:szCs w:val="20"/>
        </w:rPr>
        <w:t xml:space="preserve"> 2016</w:t>
      </w:r>
      <w:r>
        <w:rPr>
          <w:szCs w:val="20"/>
        </w:rPr>
        <w:t xml:space="preserve"> and</w:t>
      </w:r>
      <w:r w:rsidRPr="00842177">
        <w:rPr>
          <w:szCs w:val="20"/>
        </w:rPr>
        <w:t xml:space="preserve"> </w:t>
      </w:r>
      <w:r>
        <w:rPr>
          <w:szCs w:val="20"/>
        </w:rPr>
        <w:t>the supplement no. 3 dated 7 November 2016</w:t>
      </w:r>
      <w:r w:rsidRPr="004A13B7">
        <w:rPr>
          <w:szCs w:val="20"/>
        </w:rPr>
        <w:t xml:space="preserve"> (</w:t>
      </w:r>
      <w:r>
        <w:rPr>
          <w:szCs w:val="20"/>
        </w:rPr>
        <w:t xml:space="preserve">together, </w:t>
      </w:r>
      <w:r w:rsidRPr="004A13B7">
        <w:rPr>
          <w:szCs w:val="20"/>
        </w:rPr>
        <w:t>the "</w:t>
      </w:r>
      <w:r w:rsidRPr="004A13B7">
        <w:rPr>
          <w:b/>
          <w:bCs/>
          <w:szCs w:val="20"/>
        </w:rPr>
        <w:t>Base Prospectus</w:t>
      </w:r>
      <w:r w:rsidRPr="004A13B7">
        <w:rPr>
          <w:szCs w:val="20"/>
        </w:rPr>
        <w:t>") prepared by Nordea Bank AB (publ) ("</w:t>
      </w:r>
      <w:r w:rsidRPr="004A13B7">
        <w:rPr>
          <w:b/>
          <w:bCs/>
          <w:szCs w:val="20"/>
        </w:rPr>
        <w:t>NBAB</w:t>
      </w:r>
      <w:r w:rsidRPr="004A13B7">
        <w:rPr>
          <w:szCs w:val="20"/>
        </w:rPr>
        <w:t xml:space="preserve">") </w:t>
      </w:r>
      <w:r>
        <w:rPr>
          <w:szCs w:val="20"/>
        </w:rPr>
        <w:t xml:space="preserve">with respect to </w:t>
      </w:r>
      <w:r w:rsidR="00DD46B8">
        <w:rPr>
          <w:szCs w:val="20"/>
        </w:rPr>
        <w:t>its</w:t>
      </w:r>
      <w:r>
        <w:rPr>
          <w:szCs w:val="20"/>
        </w:rPr>
        <w:t xml:space="preserve"> Programme for the Issuance of Warrants and Certificates</w:t>
      </w:r>
      <w:r w:rsidRPr="004A13B7">
        <w:rPr>
          <w:szCs w:val="20"/>
        </w:rPr>
        <w:t xml:space="preserve"> (the "</w:t>
      </w:r>
      <w:r w:rsidRPr="004A13B7">
        <w:rPr>
          <w:b/>
          <w:bCs/>
          <w:szCs w:val="20"/>
        </w:rPr>
        <w:t>Programme</w:t>
      </w:r>
      <w:r w:rsidRPr="004A13B7">
        <w:rPr>
          <w:szCs w:val="20"/>
        </w:rPr>
        <w:t>") and constitutes a supplement for the purposes of Article 16 of Directive 2003/71/EC, as amended (the "</w:t>
      </w:r>
      <w:r w:rsidRPr="004A13B7">
        <w:rPr>
          <w:b/>
          <w:bCs/>
          <w:szCs w:val="20"/>
        </w:rPr>
        <w:t>Prospectus Directive</w:t>
      </w:r>
      <w:r w:rsidRPr="004A13B7">
        <w:rPr>
          <w:bCs/>
          <w:szCs w:val="20"/>
        </w:rPr>
        <w:t>"</w:t>
      </w:r>
      <w:r w:rsidRPr="004A13B7">
        <w:rPr>
          <w:szCs w:val="20"/>
        </w:rPr>
        <w:t>). Terms defined in the Base Prospectus have the same meaning when used in this Supplement.</w:t>
      </w:r>
    </w:p>
    <w:p w:rsidR="00BC0214" w:rsidRPr="004A13B7" w:rsidP="00BC0214">
      <w:pPr>
        <w:pStyle w:val="BodyText"/>
        <w:widowControl w:val="0"/>
        <w:rPr>
          <w:szCs w:val="20"/>
        </w:rPr>
      </w:pPr>
      <w:r w:rsidRPr="004A13B7">
        <w:rPr>
          <w:szCs w:val="20"/>
        </w:rPr>
        <w:t>This Supplement has been approved by the Central Bank of Ireland (the "</w:t>
      </w:r>
      <w:r w:rsidRPr="004A13B7">
        <w:rPr>
          <w:b/>
          <w:bCs/>
          <w:szCs w:val="20"/>
        </w:rPr>
        <w:t>Central Bank</w:t>
      </w:r>
      <w:r w:rsidRPr="004A13B7">
        <w:rPr>
          <w:szCs w:val="20"/>
        </w:rPr>
        <w:t>"), as competent authority under the Prospectus Directive. The Central Bank only approves this Supplement as meeting the requirements imposed under Irish and European law pursuant to the Prospectus Directive.</w:t>
      </w:r>
    </w:p>
    <w:p w:rsidR="00BC0214" w:rsidRPr="004A13B7" w:rsidP="00BC0214">
      <w:pPr>
        <w:pStyle w:val="BodyText"/>
        <w:widowControl w:val="0"/>
        <w:rPr>
          <w:szCs w:val="20"/>
        </w:rPr>
      </w:pPr>
      <w:r>
        <w:rPr>
          <w:szCs w:val="20"/>
        </w:rPr>
        <w:t xml:space="preserve">The Issuer </w:t>
      </w:r>
      <w:r w:rsidRPr="004A13B7">
        <w:rPr>
          <w:szCs w:val="20"/>
        </w:rPr>
        <w:t>accept</w:t>
      </w:r>
      <w:r>
        <w:rPr>
          <w:szCs w:val="20"/>
        </w:rPr>
        <w:t>s</w:t>
      </w:r>
      <w:r w:rsidRPr="004A13B7">
        <w:rPr>
          <w:szCs w:val="20"/>
        </w:rPr>
        <w:t xml:space="preserve"> responsibility for the information contained in this Supplement. To the best of the knowledge of </w:t>
      </w:r>
      <w:r>
        <w:rPr>
          <w:szCs w:val="20"/>
        </w:rPr>
        <w:t>the Issuer</w:t>
      </w:r>
      <w:r w:rsidRPr="004A13B7">
        <w:rPr>
          <w:szCs w:val="20"/>
        </w:rPr>
        <w:t xml:space="preserve"> (having taken all reasonable care to ensure that such is the case) the information contained in this Supplement is in accordance with the facts and does not omit anything likely to affect the import of such information.</w:t>
      </w:r>
    </w:p>
    <w:p w:rsidR="00BC0214" w:rsidRPr="004A13B7" w:rsidP="00BC0214">
      <w:pPr>
        <w:pStyle w:val="BodyText"/>
        <w:widowControl w:val="0"/>
        <w:rPr>
          <w:szCs w:val="20"/>
        </w:rPr>
      </w:pPr>
      <w:r w:rsidRPr="004A13B7">
        <w:rPr>
          <w:szCs w:val="20"/>
        </w:rPr>
        <w:t>To the extent that there is any inconsistency between (a) any statements in or incorporated by reference into this Supplement and (b) any statement in or incorporated by reference into the Base Prospectus, the statements in this Supplement will prevail.</w:t>
      </w:r>
    </w:p>
    <w:p w:rsidR="00BC0214" w:rsidRPr="004A13B7" w:rsidP="00BC0214">
      <w:pPr>
        <w:pStyle w:val="BodyText"/>
        <w:widowControl w:val="0"/>
        <w:rPr>
          <w:szCs w:val="20"/>
        </w:rPr>
      </w:pPr>
      <w:r w:rsidRPr="004A13B7">
        <w:rPr>
          <w:szCs w:val="20"/>
        </w:rPr>
        <w:t>Save as disclosed in this Supplement, no other significant new factor, material mistake or inaccuracy relating to information included in the Base Prospectus has arisen or been note</w:t>
      </w:r>
      <w:r>
        <w:rPr>
          <w:szCs w:val="20"/>
        </w:rPr>
        <w:t>d since the publication of the base p</w:t>
      </w:r>
      <w:r w:rsidRPr="004A13B7">
        <w:rPr>
          <w:szCs w:val="20"/>
        </w:rPr>
        <w:t>rospectus</w:t>
      </w:r>
      <w:r>
        <w:rPr>
          <w:szCs w:val="20"/>
        </w:rPr>
        <w:t xml:space="preserve"> dated 15 June 2016 and the previously approved supplements</w:t>
      </w:r>
      <w:r w:rsidRPr="004A13B7">
        <w:rPr>
          <w:szCs w:val="20"/>
        </w:rPr>
        <w:t>.</w:t>
      </w:r>
    </w:p>
    <w:p w:rsidR="00BC0214" w:rsidRPr="004A13B7" w:rsidP="00BC0214">
      <w:pPr>
        <w:pStyle w:val="BodyText"/>
        <w:widowControl w:val="0"/>
        <w:rPr>
          <w:szCs w:val="20"/>
        </w:rPr>
      </w:pPr>
      <w:r w:rsidRPr="004A13B7">
        <w:rPr>
          <w:szCs w:val="20"/>
        </w:rPr>
        <w:t xml:space="preserve">An investor which has agreed, prior to the date of publication of this Supplement, to purchase or subscribe for </w:t>
      </w:r>
      <w:r w:rsidR="00314D55">
        <w:rPr>
          <w:szCs w:val="20"/>
        </w:rPr>
        <w:t>Instruments</w:t>
      </w:r>
      <w:r w:rsidRPr="004A13B7">
        <w:rPr>
          <w:szCs w:val="20"/>
        </w:rPr>
        <w:t xml:space="preserve"> issued under the Programme may withdraw its acceptance before the end of the working day</w:t>
      </w:r>
      <w:r w:rsidR="00D32B7D">
        <w:rPr>
          <w:szCs w:val="20"/>
        </w:rPr>
        <w:t xml:space="preserve"> 9 </w:t>
      </w:r>
      <w:r>
        <w:rPr>
          <w:szCs w:val="20"/>
        </w:rPr>
        <w:t>January 2017</w:t>
      </w:r>
      <w:r w:rsidRPr="004A13B7">
        <w:rPr>
          <w:szCs w:val="20"/>
        </w:rPr>
        <w:t xml:space="preserve"> in accordance with the Prospectus Directive.</w:t>
      </w:r>
    </w:p>
    <w:p w:rsidR="00BC0214" w:rsidRPr="004A13B7" w:rsidP="00BC0214">
      <w:pPr>
        <w:pStyle w:val="BodyText"/>
        <w:widowControl w:val="0"/>
      </w:pPr>
      <w:r w:rsidRPr="004A13B7">
        <w:t>This Supplement is drawn up in the English language. In case there is any discrepancy between the English text and the Swedish text, the English text stands approved for the purposes of approval under the Prospectus (Directive 2003/71/EC) Regulations 2005.</w:t>
      </w:r>
    </w:p>
    <w:p w:rsidR="00BC0214" w:rsidRPr="00E94F2A" w:rsidP="00BC0214">
      <w:pPr>
        <w:pStyle w:val="BodyText"/>
      </w:pPr>
    </w:p>
    <w:p w:rsidR="00BC0214" w:rsidRPr="00E94F2A" w:rsidP="00BC0214">
      <w:pPr>
        <w:pStyle w:val="BodyText"/>
      </w:pPr>
    </w:p>
    <w:p w:rsidR="00BC0214" w:rsidRPr="00E94F2A" w:rsidP="00BC0214">
      <w:pPr>
        <w:pStyle w:val="BodyText"/>
        <w:sectPr w:rsidSect="008D78E3">
          <w:footerReference w:type="default" r:id="rId16"/>
          <w:headerReference w:type="first" r:id="rId17"/>
          <w:footerReference w:type="first" r:id="rId18"/>
          <w:pgSz w:w="11906" w:h="16838"/>
          <w:pgMar w:top="1440" w:right="1701" w:bottom="1440" w:left="1701" w:header="720" w:footer="284" w:gutter="0"/>
          <w:cols w:space="708"/>
          <w:titlePg/>
          <w:docGrid w:linePitch="360"/>
        </w:sectPr>
      </w:pPr>
    </w:p>
    <w:p w:rsidR="00BC0214" w:rsidRPr="004A13B7" w:rsidP="00BC0214">
      <w:pPr>
        <w:pStyle w:val="Title1"/>
        <w:widowControl w:val="0"/>
        <w:rPr>
          <w:rFonts w:hint="eastAsia"/>
        </w:rPr>
      </w:pPr>
      <w:r w:rsidRPr="004A13B7">
        <w:t>AMENDMENTS TO THE BASE PROSPECTUS</w:t>
      </w:r>
    </w:p>
    <w:p w:rsidR="00BC0214" w:rsidP="00BC0214">
      <w:pPr>
        <w:pStyle w:val="BodyText"/>
        <w:widowControl w:val="0"/>
        <w:rPr>
          <w:szCs w:val="20"/>
        </w:rPr>
      </w:pPr>
      <w:r w:rsidRPr="004A13B7">
        <w:rPr>
          <w:szCs w:val="20"/>
        </w:rPr>
        <w:t xml:space="preserve">With effect from the date of this Supplement, the information appearing in the Base Prospectus shall be amended and/or supplemented </w:t>
      </w:r>
      <w:r>
        <w:rPr>
          <w:szCs w:val="20"/>
        </w:rPr>
        <w:t xml:space="preserve">in the manner described below. </w:t>
      </w:r>
    </w:p>
    <w:p w:rsidR="00BC0214" w:rsidP="00BC0214">
      <w:pPr>
        <w:pStyle w:val="Title7"/>
        <w:rPr>
          <w:b/>
          <w:i w:val="0"/>
          <w:lang w:val="sv-SE"/>
        </w:rPr>
      </w:pPr>
      <w:r w:rsidRPr="005B314C">
        <w:rPr>
          <w:b/>
          <w:i w:val="0"/>
          <w:lang w:val="sv-SE"/>
        </w:rPr>
        <w:t>SIMPLIFICATION OF LEGAL STRUCTURE</w:t>
      </w:r>
    </w:p>
    <w:p w:rsidR="00BC0214" w:rsidP="00BC0214">
      <w:pPr>
        <w:pStyle w:val="BodyText"/>
        <w:rPr>
          <w:lang w:bidi="he-IL"/>
        </w:rPr>
      </w:pPr>
      <w:r>
        <w:rPr>
          <w:lang w:bidi="he-IL"/>
        </w:rPr>
        <w:t>As previously announced in 2016, as part of an initiative to simplify Nordea's legal structure, it was intended for the Norwegian, Danish and Finnish subsidiary banks of NBAB to be changed into branches of NBAB by means of cross-border mergers (the "</w:t>
      </w:r>
      <w:r w:rsidRPr="00D876E3">
        <w:rPr>
          <w:b/>
          <w:lang w:bidi="he-IL"/>
        </w:rPr>
        <w:t>Mergers</w:t>
      </w:r>
      <w:r>
        <w:rPr>
          <w:lang w:bidi="he-IL"/>
        </w:rPr>
        <w:t xml:space="preserve">"). </w:t>
      </w:r>
    </w:p>
    <w:p w:rsidR="00BC0214" w:rsidP="00BC0214">
      <w:pPr>
        <w:pStyle w:val="BodyText"/>
        <w:rPr>
          <w:lang w:bidi="he-IL"/>
        </w:rPr>
      </w:pPr>
      <w:r w:rsidRPr="00D876E3">
        <w:rPr>
          <w:lang w:bidi="he-IL"/>
        </w:rPr>
        <w:t>The Merger</w:t>
      </w:r>
      <w:r>
        <w:rPr>
          <w:lang w:bidi="he-IL"/>
        </w:rPr>
        <w:t>s</w:t>
      </w:r>
      <w:r w:rsidRPr="00D876E3">
        <w:rPr>
          <w:lang w:bidi="he-IL"/>
        </w:rPr>
        <w:t xml:space="preserve"> </w:t>
      </w:r>
      <w:r>
        <w:rPr>
          <w:lang w:bidi="he-IL"/>
        </w:rPr>
        <w:t>were</w:t>
      </w:r>
      <w:r w:rsidRPr="00D876E3">
        <w:rPr>
          <w:lang w:bidi="he-IL"/>
        </w:rPr>
        <w:t xml:space="preserve"> successfully completed and took effect on </w:t>
      </w:r>
      <w:r w:rsidR="004C061D">
        <w:rPr>
          <w:lang w:bidi="he-IL"/>
        </w:rPr>
        <w:t>2</w:t>
      </w:r>
      <w:r w:rsidRPr="00D876E3">
        <w:rPr>
          <w:lang w:bidi="he-IL"/>
        </w:rPr>
        <w:t xml:space="preserve"> January 201</w:t>
      </w:r>
      <w:r>
        <w:rPr>
          <w:lang w:bidi="he-IL"/>
        </w:rPr>
        <w:t>7</w:t>
      </w:r>
      <w:r w:rsidRPr="00D876E3">
        <w:rPr>
          <w:lang w:bidi="he-IL"/>
        </w:rPr>
        <w:t xml:space="preserve"> under the European Cross-Border Mergers Directive (2005/56/EC)</w:t>
      </w:r>
      <w:r>
        <w:rPr>
          <w:lang w:bidi="he-IL"/>
        </w:rPr>
        <w:t xml:space="preserve"> and </w:t>
      </w:r>
      <w:r w:rsidRPr="00C37A8E">
        <w:rPr>
          <w:lang w:bidi="he-IL"/>
        </w:rPr>
        <w:t>Nordea Bank Danmark A/S, Nordea Bank Norge ASA</w:t>
      </w:r>
      <w:r>
        <w:rPr>
          <w:lang w:bidi="he-IL"/>
        </w:rPr>
        <w:t xml:space="preserve"> and </w:t>
      </w:r>
      <w:r w:rsidRPr="004A13B7" w:rsidR="00DD46B8">
        <w:rPr>
          <w:szCs w:val="20"/>
        </w:rPr>
        <w:t>Nordea Bank Finland Plc ("</w:t>
      </w:r>
      <w:r w:rsidRPr="004A13B7" w:rsidR="00DD46B8">
        <w:rPr>
          <w:b/>
          <w:bCs/>
          <w:szCs w:val="20"/>
        </w:rPr>
        <w:t>NBF</w:t>
      </w:r>
      <w:r w:rsidRPr="004A13B7" w:rsidR="00DD46B8">
        <w:rPr>
          <w:szCs w:val="20"/>
        </w:rPr>
        <w:t>"</w:t>
      </w:r>
      <w:r w:rsidR="00DD46B8">
        <w:rPr>
          <w:szCs w:val="20"/>
        </w:rPr>
        <w:t>)</w:t>
      </w:r>
      <w:r>
        <w:rPr>
          <w:lang w:bidi="he-IL"/>
        </w:rPr>
        <w:t xml:space="preserve"> became branches of </w:t>
      </w:r>
      <w:r w:rsidR="004C061D">
        <w:rPr>
          <w:lang w:bidi="he-IL"/>
        </w:rPr>
        <w:t>the Issuer</w:t>
      </w:r>
      <w:r w:rsidRPr="00D876E3">
        <w:rPr>
          <w:lang w:bidi="he-IL"/>
        </w:rPr>
        <w:t xml:space="preserve">. As a result, on </w:t>
      </w:r>
      <w:r w:rsidR="004C061D">
        <w:rPr>
          <w:lang w:bidi="he-IL"/>
        </w:rPr>
        <w:t>2</w:t>
      </w:r>
      <w:r w:rsidRPr="00D876E3">
        <w:rPr>
          <w:lang w:bidi="he-IL"/>
        </w:rPr>
        <w:t xml:space="preserve"> January 201</w:t>
      </w:r>
      <w:r>
        <w:rPr>
          <w:lang w:bidi="he-IL"/>
        </w:rPr>
        <w:t>7</w:t>
      </w:r>
      <w:r w:rsidRPr="00D876E3">
        <w:rPr>
          <w:lang w:bidi="he-IL"/>
        </w:rPr>
        <w:t xml:space="preserve">, all </w:t>
      </w:r>
      <w:r>
        <w:rPr>
          <w:lang w:bidi="he-IL"/>
        </w:rPr>
        <w:t xml:space="preserve">of the </w:t>
      </w:r>
      <w:r w:rsidRPr="00D876E3">
        <w:rPr>
          <w:lang w:bidi="he-IL"/>
        </w:rPr>
        <w:t xml:space="preserve">assets and liabilities </w:t>
      </w:r>
      <w:r>
        <w:rPr>
          <w:lang w:bidi="he-IL"/>
        </w:rPr>
        <w:t xml:space="preserve">of NBF </w:t>
      </w:r>
      <w:r w:rsidRPr="00D876E3">
        <w:rPr>
          <w:lang w:bidi="he-IL"/>
        </w:rPr>
        <w:t xml:space="preserve">were automatically transferred to </w:t>
      </w:r>
      <w:r>
        <w:rPr>
          <w:lang w:bidi="he-IL"/>
        </w:rPr>
        <w:t>NBAB a</w:t>
      </w:r>
      <w:r w:rsidRPr="00D876E3">
        <w:rPr>
          <w:lang w:bidi="he-IL"/>
        </w:rPr>
        <w:t xml:space="preserve">nd </w:t>
      </w:r>
      <w:r>
        <w:rPr>
          <w:lang w:bidi="he-IL"/>
        </w:rPr>
        <w:t>NBF</w:t>
      </w:r>
      <w:r w:rsidRPr="00D876E3">
        <w:rPr>
          <w:lang w:bidi="he-IL"/>
        </w:rPr>
        <w:t xml:space="preserve"> </w:t>
      </w:r>
      <w:r>
        <w:rPr>
          <w:lang w:bidi="he-IL"/>
        </w:rPr>
        <w:t xml:space="preserve">ceased to be an issuer under the Programme. </w:t>
      </w:r>
      <w:r w:rsidRPr="008E504D">
        <w:rPr>
          <w:lang w:bidi="he-IL"/>
        </w:rPr>
        <w:t xml:space="preserve">Each of Nordea Bank Danmark A/S, Nordea Bank Norge ASA and NBF will continue to operate as local branches of </w:t>
      </w:r>
      <w:r w:rsidR="004C061D">
        <w:rPr>
          <w:lang w:bidi="he-IL"/>
        </w:rPr>
        <w:t>the Issuer</w:t>
      </w:r>
      <w:r w:rsidRPr="008E504D">
        <w:rPr>
          <w:lang w:bidi="he-IL"/>
        </w:rPr>
        <w:t>.</w:t>
      </w:r>
    </w:p>
    <w:p w:rsidR="004C061D" w:rsidRPr="004C061D" w:rsidP="004C061D">
      <w:pPr>
        <w:pStyle w:val="BodyText"/>
      </w:pPr>
      <w:r w:rsidRPr="004C061D">
        <w:t>The following chart shows the general legal structure of the Nordea Group, including its material subsidiaries, as of 2 January 2017:</w:t>
      </w:r>
    </w:p>
    <w:p w:rsidR="00C93C14" w:rsidRPr="00C93C14" w:rsidP="00C93C14">
      <w:pPr>
        <w:pStyle w:val="BodyText"/>
      </w:pPr>
      <w:r w:rsidRPr="00C93C14">
        <w:rPr>
          <w:noProof/>
          <w:lang w:eastAsia="en-GB"/>
        </w:rPr>
        <w:drawing>
          <wp:inline distT="0" distB="0" distL="0" distR="0">
            <wp:extent cx="5392558"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9" cstate="print"/>
                    <a:srcRect/>
                    <a:stretch>
                      <a:fillRect/>
                    </a:stretch>
                  </pic:blipFill>
                  <pic:spPr bwMode="auto">
                    <a:xfrm>
                      <a:off x="0" y="0"/>
                      <a:ext cx="5400040" cy="3605445"/>
                    </a:xfrm>
                    <a:prstGeom prst="rect">
                      <a:avLst/>
                    </a:prstGeom>
                    <a:noFill/>
                    <a:ln w="9525">
                      <a:noFill/>
                      <a:miter lim="800000"/>
                      <a:headEnd/>
                      <a:tailEnd/>
                    </a:ln>
                  </pic:spPr>
                </pic:pic>
              </a:graphicData>
            </a:graphic>
          </wp:inline>
        </w:drawing>
      </w:r>
    </w:p>
    <w:p w:rsidR="00BC0214" w:rsidRPr="00B21B51" w:rsidP="00BC0214">
      <w:pPr>
        <w:pStyle w:val="Title7"/>
        <w:rPr>
          <w:b/>
          <w:i w:val="0"/>
          <w:lang w:val="sv-SE"/>
        </w:rPr>
      </w:pPr>
      <w:r w:rsidRPr="00B21B51">
        <w:rPr>
          <w:b/>
          <w:i w:val="0"/>
          <w:lang w:val="sv-SE"/>
        </w:rPr>
        <w:t xml:space="preserve">CHANGES TO </w:t>
      </w:r>
      <w:r>
        <w:rPr>
          <w:b/>
          <w:i w:val="0"/>
          <w:lang w:val="sv-SE"/>
        </w:rPr>
        <w:t>SUMMARY</w:t>
      </w:r>
    </w:p>
    <w:p w:rsidR="00BC0214" w:rsidP="00BC0214">
      <w:pPr>
        <w:pStyle w:val="BodyText"/>
        <w:widowControl w:val="0"/>
        <w:rPr>
          <w:szCs w:val="20"/>
        </w:rPr>
      </w:pPr>
      <w:r w:rsidRPr="00082BC0">
        <w:rPr>
          <w:szCs w:val="20"/>
        </w:rPr>
        <w:t xml:space="preserve">The Summary of the Programme included in the Base Prospectus is updated in Appendix 1 to this Supplement. </w:t>
      </w:r>
    </w:p>
    <w:p w:rsidR="009654A5" w:rsidRPr="00B21B51" w:rsidP="009654A5">
      <w:pPr>
        <w:pStyle w:val="Title7"/>
        <w:rPr>
          <w:b/>
          <w:i w:val="0"/>
          <w:lang w:val="sv-SE"/>
        </w:rPr>
      </w:pPr>
      <w:r w:rsidRPr="00B21B51">
        <w:rPr>
          <w:b/>
          <w:i w:val="0"/>
          <w:lang w:val="sv-SE"/>
        </w:rPr>
        <w:t xml:space="preserve">CHANGES TO </w:t>
      </w:r>
      <w:r>
        <w:rPr>
          <w:b/>
          <w:i w:val="0"/>
          <w:lang w:val="sv-SE"/>
        </w:rPr>
        <w:t>FORM OF FINAL TERMS</w:t>
      </w:r>
    </w:p>
    <w:p w:rsidR="009654A5" w:rsidP="00BC0214">
      <w:pPr>
        <w:pStyle w:val="BodyText"/>
        <w:widowControl w:val="0"/>
        <w:rPr>
          <w:szCs w:val="20"/>
        </w:rPr>
      </w:pPr>
      <w:r>
        <w:rPr>
          <w:szCs w:val="20"/>
        </w:rPr>
        <w:t>T</w:t>
      </w:r>
      <w:r>
        <w:rPr>
          <w:szCs w:val="20"/>
        </w:rPr>
        <w:t xml:space="preserve">he </w:t>
      </w:r>
      <w:r>
        <w:rPr>
          <w:szCs w:val="20"/>
        </w:rPr>
        <w:t>"</w:t>
      </w:r>
      <w:r w:rsidRPr="008E4EC3">
        <w:rPr>
          <w:i/>
          <w:szCs w:val="20"/>
        </w:rPr>
        <w:t>Form of Final Terms</w:t>
      </w:r>
      <w:r>
        <w:rPr>
          <w:szCs w:val="20"/>
        </w:rPr>
        <w:t>"</w:t>
      </w:r>
      <w:r>
        <w:rPr>
          <w:szCs w:val="20"/>
        </w:rPr>
        <w:t xml:space="preserve"> </w:t>
      </w:r>
      <w:r>
        <w:rPr>
          <w:szCs w:val="20"/>
        </w:rPr>
        <w:t>section of</w:t>
      </w:r>
      <w:r>
        <w:rPr>
          <w:szCs w:val="20"/>
        </w:rPr>
        <w:t xml:space="preserve"> the Base Prospectus is to be amended </w:t>
      </w:r>
      <w:r>
        <w:rPr>
          <w:szCs w:val="20"/>
        </w:rPr>
        <w:t xml:space="preserve">so that all references to "Nordea Bank Finland Plc" are deleted. </w:t>
      </w:r>
    </w:p>
    <w:p w:rsidR="00DA0DEE" w:rsidRPr="00DA0DEE" w:rsidP="00DA0DEE">
      <w:pPr>
        <w:pStyle w:val="BodyText"/>
        <w:rPr>
          <w:b/>
        </w:rPr>
      </w:pPr>
      <w:r w:rsidRPr="00DA0DEE">
        <w:rPr>
          <w:b/>
        </w:rPr>
        <w:t>CHANGES TO THE GROUP EXECUTIVE MANAGEMENT</w:t>
      </w:r>
    </w:p>
    <w:p w:rsidR="00DA0DEE" w:rsidRPr="00DA0DEE" w:rsidP="00DA0DEE">
      <w:pPr>
        <w:pStyle w:val="BodyText"/>
      </w:pPr>
      <w:r w:rsidRPr="00DA0DEE">
        <w:t xml:space="preserve">The paragraphs on pages </w:t>
      </w:r>
      <w:r>
        <w:t>280</w:t>
      </w:r>
      <w:r w:rsidRPr="00DA0DEE">
        <w:t xml:space="preserve"> to</w:t>
      </w:r>
      <w:r>
        <w:t xml:space="preserve"> 282 </w:t>
      </w:r>
      <w:r w:rsidRPr="00DA0DEE">
        <w:t>under the heading "</w:t>
      </w:r>
      <w:r w:rsidRPr="00DA0DEE">
        <w:rPr>
          <w:i/>
        </w:rPr>
        <w:t>Group Executive Management</w:t>
      </w:r>
      <w:r w:rsidRPr="00DA0DEE">
        <w:t>" in the "</w:t>
      </w:r>
      <w:r w:rsidRPr="00DA0DEE">
        <w:rPr>
          <w:i/>
        </w:rPr>
        <w:t>Nordea Bank AB (publ)</w:t>
      </w:r>
      <w:r w:rsidRPr="00DA0DEE">
        <w:t>" section of the Base Prospectus are to be deleted and replaced by the following:</w:t>
      </w:r>
    </w:p>
    <w:p w:rsidR="008E4EC3" w:rsidRPr="008E4EC3" w:rsidP="008E4EC3">
      <w:pPr>
        <w:pStyle w:val="BodyText"/>
      </w:pPr>
      <w:r w:rsidRPr="00DA0DEE">
        <w:t>"</w:t>
      </w:r>
      <w:r w:rsidRPr="008E4EC3">
        <w:t>Group Executive Management currently consists of ten members, including the CEO.  The President and CEO is appointed by the Board of Directors and is charged with the day-to-day management of the Nordea Group and the Nordea Group's group-wide affairs in accordance with applicable laws and regulations, including the Swedish Code of Corporate Governance (</w:t>
      </w:r>
      <w:r w:rsidRPr="008E4EC3">
        <w:rPr>
          <w:i/>
          <w:iCs/>
        </w:rPr>
        <w:t>Svensk kod för bolagsstyrning</w:t>
      </w:r>
      <w:r w:rsidRPr="008E4EC3">
        <w:t>) (the "</w:t>
      </w:r>
      <w:r w:rsidRPr="008E4EC3">
        <w:rPr>
          <w:b/>
          <w:bCs/>
        </w:rPr>
        <w:t>Swedish Corporate Governance Code</w:t>
      </w:r>
      <w:r>
        <w:rPr>
          <w:b/>
          <w:bCs/>
        </w:rPr>
        <w:fldChar w:fldCharType="begin"/>
      </w:r>
      <w:r w:rsidRPr="008E4EC3">
        <w:instrText xml:space="preserve"> XE "Swedish Corporate Governance Code" </w:instrText>
      </w:r>
      <w:r>
        <w:rPr>
          <w:b/>
          <w:bCs/>
        </w:rPr>
        <w:fldChar w:fldCharType="end"/>
      </w:r>
      <w:r w:rsidRPr="008E4EC3">
        <w:t>"), as well as the instructions provided by the Board of Directors.  The instructions regulate the division of responsibilities and the interaction between the CEO and the Board of Directors.  The CEO works closely with the Chairman of the Board of Directors, for example, in planning the meetings of the Board of Directors.</w:t>
      </w:r>
    </w:p>
    <w:p w:rsidR="00DA0DEE" w:rsidP="008E4EC3">
      <w:pPr>
        <w:pStyle w:val="BodyText"/>
      </w:pPr>
      <w:r w:rsidRPr="008E4EC3">
        <w:t>The following table sets forth each member of Group Executive Management, his or her year of birth, the year of his or her initial employment as a member of Group Executive Management and his or her current position.</w:t>
      </w:r>
    </w:p>
    <w:tbl>
      <w:tblPr>
        <w:tblStyle w:val="TableGrid3"/>
        <w:tblW w:w="4694" w:type="pct"/>
        <w:tblBorders>
          <w:top w:val="nil"/>
          <w:left w:val="nil"/>
          <w:bottom w:val="nil"/>
          <w:right w:val="nil"/>
          <w:insideH w:val="nil"/>
          <w:insideV w:val="nil"/>
        </w:tblBorders>
        <w:tblLayout w:type="fixed"/>
        <w:tblLook w:val="04A0"/>
      </w:tblPr>
      <w:tblGrid>
        <w:gridCol w:w="2519"/>
        <w:gridCol w:w="993"/>
        <w:gridCol w:w="1275"/>
        <w:gridCol w:w="3399"/>
      </w:tblGrid>
      <w:tr w:rsidTr="008E4EC3">
        <w:tblPrEx>
          <w:tblW w:w="4694" w:type="pct"/>
          <w:tblBorders>
            <w:top w:val="nil"/>
            <w:left w:val="nil"/>
            <w:bottom w:val="nil"/>
            <w:right w:val="nil"/>
            <w:insideH w:val="nil"/>
            <w:insideV w:val="nil"/>
          </w:tblBorders>
          <w:tblLayout w:type="fixed"/>
          <w:tblLook w:val="04A0"/>
        </w:tblPrEx>
        <w:trPr>
          <w:tblHeader/>
        </w:trPr>
        <w:tc>
          <w:tcPr>
            <w:tcW w:w="1538" w:type="pct"/>
            <w:vAlign w:val="bottom"/>
          </w:tcPr>
          <w:p w:rsidR="008E4EC3" w:rsidRPr="00B81DE5" w:rsidP="008E4EC3">
            <w:pPr>
              <w:widowControl w:val="0"/>
              <w:pBdr>
                <w:bottom w:val="single" w:sz="4" w:space="1" w:color="auto"/>
              </w:pBdr>
              <w:ind w:right="318"/>
              <w:rPr>
                <w:rFonts w:eastAsia="MS Mincho"/>
                <w:b/>
                <w:sz w:val="16"/>
                <w:szCs w:val="16"/>
              </w:rPr>
            </w:pPr>
            <w:r>
              <w:rPr>
                <w:rFonts w:eastAsia="MS Mincho"/>
                <w:b/>
                <w:sz w:val="16"/>
                <w:szCs w:val="16"/>
              </w:rPr>
              <w:t>Name</w:t>
            </w:r>
          </w:p>
        </w:tc>
        <w:tc>
          <w:tcPr>
            <w:tcW w:w="606" w:type="pct"/>
            <w:vAlign w:val="bottom"/>
          </w:tcPr>
          <w:p w:rsidR="008E4EC3" w:rsidRPr="00B81DE5" w:rsidP="00E55762">
            <w:pPr>
              <w:keepNext/>
              <w:numPr>
                <w:ilvl w:val="0"/>
                <w:numId w:val="7"/>
              </w:numPr>
              <w:pBdr>
                <w:bottom w:val="single" w:sz="4" w:space="1" w:color="auto"/>
              </w:pBdr>
              <w:ind w:left="0"/>
              <w:jc w:val="center"/>
              <w:rPr>
                <w:rFonts w:eastAsia="MS Mincho"/>
                <w:b/>
                <w:sz w:val="16"/>
                <w:szCs w:val="16"/>
              </w:rPr>
            </w:pPr>
            <w:r w:rsidRPr="00B81DE5">
              <w:rPr>
                <w:rFonts w:eastAsia="MS Mincho"/>
                <w:b/>
                <w:sz w:val="16"/>
                <w:szCs w:val="16"/>
              </w:rPr>
              <w:t>Year of birth</w:t>
            </w:r>
          </w:p>
        </w:tc>
        <w:tc>
          <w:tcPr>
            <w:tcW w:w="779" w:type="pct"/>
            <w:vAlign w:val="bottom"/>
          </w:tcPr>
          <w:p w:rsidR="008E4EC3" w:rsidRPr="00B81DE5" w:rsidP="008E4EC3">
            <w:pPr>
              <w:keepNext/>
              <w:pBdr>
                <w:bottom w:val="single" w:sz="4" w:space="1" w:color="auto"/>
              </w:pBdr>
              <w:ind w:left="11" w:hanging="11"/>
              <w:jc w:val="center"/>
              <w:rPr>
                <w:rFonts w:eastAsia="MS Mincho"/>
                <w:b/>
                <w:sz w:val="16"/>
                <w:szCs w:val="16"/>
              </w:rPr>
            </w:pPr>
            <w:r w:rsidRPr="00B81DE5">
              <w:rPr>
                <w:rFonts w:eastAsia="MS Mincho"/>
                <w:b/>
                <w:sz w:val="16"/>
                <w:szCs w:val="16"/>
              </w:rPr>
              <w:t>Group Executive Management member since</w:t>
            </w:r>
          </w:p>
        </w:tc>
        <w:tc>
          <w:tcPr>
            <w:tcW w:w="2076" w:type="pct"/>
            <w:vAlign w:val="bottom"/>
          </w:tcPr>
          <w:p w:rsidR="008E4EC3" w:rsidRPr="00B81DE5" w:rsidP="008E4EC3">
            <w:pPr>
              <w:keepNext/>
              <w:pBdr>
                <w:bottom w:val="single" w:sz="4" w:space="1" w:color="auto"/>
              </w:pBdr>
              <w:ind w:left="-360"/>
              <w:jc w:val="center"/>
              <w:rPr>
                <w:rFonts w:eastAsia="MS Mincho"/>
                <w:b/>
                <w:sz w:val="16"/>
                <w:szCs w:val="16"/>
              </w:rPr>
            </w:pPr>
            <w:r w:rsidRPr="00B81DE5">
              <w:rPr>
                <w:rFonts w:eastAsia="MS Mincho"/>
                <w:b/>
                <w:sz w:val="16"/>
                <w:szCs w:val="16"/>
              </w:rPr>
              <w:t>Position</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Pr>
                <w:iCs w:val="0"/>
                <w:szCs w:val="16"/>
              </w:rPr>
              <w:t>Casper von Koskull</w:t>
            </w:r>
            <w:r w:rsidRPr="00D556C9">
              <w:rPr>
                <w:iCs w:val="0"/>
                <w:szCs w:val="16"/>
              </w:rPr>
              <w:tab/>
            </w:r>
          </w:p>
        </w:tc>
        <w:tc>
          <w:tcPr>
            <w:tcW w:w="606" w:type="pct"/>
            <w:vAlign w:val="bottom"/>
          </w:tcPr>
          <w:p w:rsidR="008E4EC3" w:rsidRPr="00D556C9" w:rsidP="008E4EC3">
            <w:pPr>
              <w:pStyle w:val="TableMiddleRows"/>
              <w:tabs>
                <w:tab w:val="right" w:leader="dot" w:pos="3784"/>
                <w:tab w:val="clear" w:pos="4140"/>
              </w:tabs>
              <w:jc w:val="center"/>
              <w:rPr>
                <w:iCs w:val="0"/>
                <w:szCs w:val="16"/>
              </w:rPr>
            </w:pPr>
            <w:r w:rsidRPr="00D556C9">
              <w:rPr>
                <w:iCs w:val="0"/>
                <w:szCs w:val="16"/>
              </w:rPr>
              <w:t>19</w:t>
            </w:r>
            <w:r>
              <w:rPr>
                <w:iCs w:val="0"/>
                <w:szCs w:val="16"/>
              </w:rPr>
              <w:t>60</w:t>
            </w:r>
          </w:p>
        </w:tc>
        <w:tc>
          <w:tcPr>
            <w:tcW w:w="779" w:type="pct"/>
            <w:vAlign w:val="bottom"/>
          </w:tcPr>
          <w:p w:rsidR="008E4EC3" w:rsidRPr="00D556C9" w:rsidP="008E4EC3">
            <w:pPr>
              <w:pStyle w:val="TableMiddleRows"/>
              <w:tabs>
                <w:tab w:val="right" w:leader="dot" w:pos="3784"/>
                <w:tab w:val="clear" w:pos="4140"/>
              </w:tabs>
              <w:jc w:val="center"/>
              <w:rPr>
                <w:iCs w:val="0"/>
                <w:szCs w:val="16"/>
              </w:rPr>
            </w:pPr>
            <w:r>
              <w:rPr>
                <w:iCs w:val="0"/>
                <w:szCs w:val="16"/>
              </w:rPr>
              <w:t>201</w:t>
            </w:r>
            <w:r w:rsidRPr="00D556C9">
              <w:rPr>
                <w:iCs w:val="0"/>
                <w:szCs w:val="16"/>
              </w:rPr>
              <w:t>0</w:t>
            </w:r>
          </w:p>
        </w:tc>
        <w:tc>
          <w:tcPr>
            <w:tcW w:w="2076" w:type="pct"/>
            <w:vAlign w:val="bottom"/>
          </w:tcPr>
          <w:p w:rsidR="008E4EC3" w:rsidRPr="00D556C9" w:rsidP="008E4EC3">
            <w:pPr>
              <w:pStyle w:val="TableMiddleRows"/>
              <w:tabs>
                <w:tab w:val="right" w:leader="dot" w:pos="3784"/>
                <w:tab w:val="clear" w:pos="4140"/>
              </w:tabs>
              <w:ind w:left="66"/>
              <w:rPr>
                <w:iCs w:val="0"/>
                <w:szCs w:val="16"/>
              </w:rPr>
            </w:pPr>
            <w:r w:rsidRPr="00D556C9">
              <w:rPr>
                <w:iCs w:val="0"/>
                <w:szCs w:val="16"/>
              </w:rPr>
              <w:t>President and Group CEO</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sidRPr="002D5CDD">
              <w:rPr>
                <w:iCs w:val="0"/>
                <w:szCs w:val="16"/>
              </w:rPr>
              <w:t>Torsten Hagen Jørgensen</w:t>
            </w:r>
            <w:r w:rsidRPr="002D5CDD">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1965</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2011</w:t>
            </w:r>
          </w:p>
        </w:tc>
        <w:tc>
          <w:tcPr>
            <w:tcW w:w="2076" w:type="pct"/>
            <w:vAlign w:val="bottom"/>
          </w:tcPr>
          <w:p w:rsidR="008E4EC3" w:rsidRPr="00D556C9" w:rsidP="008E4EC3">
            <w:pPr>
              <w:pStyle w:val="TableMiddleRows"/>
              <w:tabs>
                <w:tab w:val="right" w:leader="dot" w:pos="3784"/>
                <w:tab w:val="clear" w:pos="4140"/>
              </w:tabs>
              <w:ind w:left="66"/>
              <w:rPr>
                <w:iCs w:val="0"/>
                <w:szCs w:val="16"/>
              </w:rPr>
            </w:pPr>
            <w:r w:rsidRPr="002D5CDD">
              <w:rPr>
                <w:iCs w:val="0"/>
                <w:szCs w:val="16"/>
              </w:rPr>
              <w:t>Deputy Group CEO and Group Chief Operating Officer, Executive Vice President and Hea</w:t>
            </w:r>
            <w:r>
              <w:rPr>
                <w:iCs w:val="0"/>
                <w:szCs w:val="16"/>
              </w:rPr>
              <w:t>d of Group Corporate Centre</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sidRPr="002D5CDD">
              <w:rPr>
                <w:iCs w:val="0"/>
                <w:szCs w:val="16"/>
              </w:rPr>
              <w:t>Erik Ekman</w:t>
            </w:r>
            <w:r w:rsidRPr="00482E1D">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1969</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2015</w:t>
            </w:r>
          </w:p>
        </w:tc>
        <w:tc>
          <w:tcPr>
            <w:tcW w:w="2076" w:type="pct"/>
            <w:vAlign w:val="bottom"/>
          </w:tcPr>
          <w:p w:rsidR="008E4EC3" w:rsidRPr="00D556C9" w:rsidP="008E4EC3">
            <w:pPr>
              <w:pStyle w:val="TableMiddleRows"/>
              <w:tabs>
                <w:tab w:val="right" w:leader="dot" w:pos="3784"/>
                <w:tab w:val="clear" w:pos="4140"/>
              </w:tabs>
              <w:ind w:left="66"/>
              <w:rPr>
                <w:iCs w:val="0"/>
                <w:szCs w:val="16"/>
              </w:rPr>
            </w:pPr>
            <w:r w:rsidRPr="002D5CDD">
              <w:rPr>
                <w:iCs w:val="0"/>
                <w:szCs w:val="16"/>
              </w:rPr>
              <w:t>Executive Vice President</w:t>
            </w:r>
            <w:r>
              <w:rPr>
                <w:iCs w:val="0"/>
                <w:szCs w:val="16"/>
              </w:rPr>
              <w:t>,</w:t>
            </w:r>
            <w:r w:rsidRPr="002D5CDD">
              <w:rPr>
                <w:iCs w:val="0"/>
                <w:szCs w:val="16"/>
              </w:rPr>
              <w:t xml:space="preserve"> Head of </w:t>
            </w:r>
            <w:r>
              <w:rPr>
                <w:iCs w:val="0"/>
                <w:szCs w:val="16"/>
              </w:rPr>
              <w:t xml:space="preserve">Commercial and Business Banking </w:t>
            </w:r>
            <w:r w:rsidRPr="00D556C9">
              <w:rPr>
                <w:iCs w:val="0"/>
                <w:szCs w:val="16"/>
              </w:rPr>
              <w:t>and Country Senior Executive in Sweden</w:t>
            </w:r>
          </w:p>
        </w:tc>
      </w:tr>
      <w:tr w:rsidTr="008E4EC3">
        <w:tblPrEx>
          <w:tblW w:w="4694" w:type="pct"/>
          <w:tblLayout w:type="fixed"/>
          <w:tblLook w:val="04A0"/>
        </w:tblPrEx>
        <w:trPr>
          <w:tblHeader/>
        </w:trPr>
        <w:tc>
          <w:tcPr>
            <w:tcW w:w="1538" w:type="pct"/>
          </w:tcPr>
          <w:p w:rsidR="008E4EC3" w:rsidRPr="00482E1D" w:rsidP="008E4EC3">
            <w:pPr>
              <w:pStyle w:val="TableMiddleRows"/>
              <w:keepNext w:val="0"/>
              <w:widowControl w:val="0"/>
              <w:tabs>
                <w:tab w:val="right" w:leader="dot" w:pos="1966"/>
                <w:tab w:val="clear" w:pos="4140"/>
              </w:tabs>
              <w:jc w:val="left"/>
              <w:rPr>
                <w:iCs w:val="0"/>
                <w:szCs w:val="16"/>
              </w:rPr>
            </w:pPr>
            <w:r w:rsidRPr="00482E1D">
              <w:rPr>
                <w:iCs w:val="0"/>
                <w:szCs w:val="16"/>
              </w:rPr>
              <w:t>Heikki Ilkka</w:t>
            </w:r>
            <w:r w:rsidRPr="00482E1D">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1970</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2016</w:t>
            </w:r>
          </w:p>
        </w:tc>
        <w:tc>
          <w:tcPr>
            <w:tcW w:w="2076" w:type="pct"/>
          </w:tcPr>
          <w:p w:rsidR="008E4EC3" w:rsidRPr="00D556C9" w:rsidP="008E4EC3">
            <w:pPr>
              <w:pStyle w:val="TableMiddleRows"/>
              <w:tabs>
                <w:tab w:val="right" w:leader="dot" w:pos="3784"/>
                <w:tab w:val="clear" w:pos="4140"/>
              </w:tabs>
              <w:spacing w:after="100" w:afterAutospacing="1"/>
              <w:ind w:left="66"/>
              <w:rPr>
                <w:iCs w:val="0"/>
                <w:szCs w:val="16"/>
              </w:rPr>
            </w:pPr>
            <w:r w:rsidRPr="00482E1D">
              <w:rPr>
                <w:iCs w:val="0"/>
                <w:szCs w:val="16"/>
              </w:rPr>
              <w:t xml:space="preserve">Head of Group Finance &amp; Business Control </w:t>
            </w:r>
            <w:r>
              <w:rPr>
                <w:iCs w:val="0"/>
                <w:szCs w:val="16"/>
              </w:rPr>
              <w:t xml:space="preserve">and </w:t>
            </w:r>
            <w:r w:rsidRPr="002D5CDD">
              <w:rPr>
                <w:iCs w:val="0"/>
                <w:szCs w:val="16"/>
              </w:rPr>
              <w:t xml:space="preserve">Executive Vice President </w:t>
            </w:r>
            <w:r>
              <w:rPr>
                <w:iCs w:val="0"/>
                <w:szCs w:val="16"/>
              </w:rPr>
              <w:t xml:space="preserve">and </w:t>
            </w:r>
            <w:r w:rsidRPr="00482E1D">
              <w:rPr>
                <w:iCs w:val="0"/>
                <w:szCs w:val="16"/>
              </w:rPr>
              <w:t>Group CFO</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sidRPr="008E4EC3">
              <w:rPr>
                <w:iCs w:val="0"/>
                <w:szCs w:val="16"/>
              </w:rPr>
              <w:t>Julie Galbo</w:t>
            </w:r>
            <w:r w:rsidRPr="00D556C9">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1971</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2017</w:t>
            </w:r>
          </w:p>
        </w:tc>
        <w:tc>
          <w:tcPr>
            <w:tcW w:w="2076" w:type="pct"/>
          </w:tcPr>
          <w:p w:rsidR="008E4EC3" w:rsidRPr="00D556C9" w:rsidP="003F2E95">
            <w:pPr>
              <w:pStyle w:val="TableMiddleRows"/>
              <w:tabs>
                <w:tab w:val="right" w:leader="dot" w:pos="3784"/>
                <w:tab w:val="clear" w:pos="4140"/>
              </w:tabs>
              <w:ind w:left="66"/>
              <w:rPr>
                <w:iCs w:val="0"/>
                <w:szCs w:val="16"/>
              </w:rPr>
            </w:pPr>
            <w:r>
              <w:rPr>
                <w:iCs w:val="0"/>
                <w:szCs w:val="16"/>
              </w:rPr>
              <w:t xml:space="preserve">Group </w:t>
            </w:r>
            <w:r w:rsidRPr="00D556C9">
              <w:rPr>
                <w:iCs w:val="0"/>
                <w:szCs w:val="16"/>
              </w:rPr>
              <w:t xml:space="preserve">CRO, Head of Group Risk Management and </w:t>
            </w:r>
            <w:r w:rsidR="003F2E95">
              <w:rPr>
                <w:iCs w:val="0"/>
                <w:szCs w:val="16"/>
              </w:rPr>
              <w:t xml:space="preserve">Control </w:t>
            </w:r>
            <w:r>
              <w:rPr>
                <w:iCs w:val="0"/>
                <w:szCs w:val="16"/>
              </w:rPr>
              <w:t>and Head of Regulatory Change Management</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sidRPr="002D5CDD">
              <w:rPr>
                <w:iCs w:val="0"/>
                <w:szCs w:val="16"/>
              </w:rPr>
              <w:t>Snorre Storset</w:t>
            </w:r>
            <w:r w:rsidRPr="00482E1D">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1972</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2015</w:t>
            </w:r>
          </w:p>
        </w:tc>
        <w:tc>
          <w:tcPr>
            <w:tcW w:w="2076" w:type="pct"/>
          </w:tcPr>
          <w:p w:rsidR="008E4EC3" w:rsidRPr="00D556C9" w:rsidP="008E4EC3">
            <w:pPr>
              <w:pStyle w:val="TableMiddleRows"/>
              <w:tabs>
                <w:tab w:val="right" w:leader="dot" w:pos="3784"/>
                <w:tab w:val="clear" w:pos="4140"/>
              </w:tabs>
              <w:ind w:left="66"/>
              <w:rPr>
                <w:iCs w:val="0"/>
                <w:szCs w:val="16"/>
              </w:rPr>
            </w:pPr>
            <w:r w:rsidRPr="002D5CDD">
              <w:rPr>
                <w:iCs w:val="0"/>
                <w:szCs w:val="16"/>
              </w:rPr>
              <w:t xml:space="preserve">Executive Vice President, Head of Wealth Management, and </w:t>
            </w:r>
            <w:r w:rsidRPr="00D556C9">
              <w:rPr>
                <w:iCs w:val="0"/>
                <w:szCs w:val="16"/>
              </w:rPr>
              <w:t>Country Senior Executive in Norway</w:t>
            </w:r>
          </w:p>
        </w:tc>
      </w:tr>
      <w:tr w:rsidTr="008E4EC3">
        <w:tblPrEx>
          <w:tblW w:w="4694" w:type="pct"/>
          <w:tblLayout w:type="fixed"/>
          <w:tblLook w:val="04A0"/>
        </w:tblPrEx>
        <w:trPr>
          <w:tblHeader/>
        </w:trPr>
        <w:tc>
          <w:tcPr>
            <w:tcW w:w="1538" w:type="pct"/>
          </w:tcPr>
          <w:p w:rsidR="008E4EC3" w:rsidRPr="00D556C9" w:rsidP="008E4EC3">
            <w:pPr>
              <w:pStyle w:val="TableMiddleRows"/>
              <w:keepNext w:val="0"/>
              <w:widowControl w:val="0"/>
              <w:tabs>
                <w:tab w:val="right" w:leader="dot" w:pos="1966"/>
                <w:tab w:val="clear" w:pos="4140"/>
              </w:tabs>
              <w:jc w:val="left"/>
              <w:rPr>
                <w:iCs w:val="0"/>
                <w:szCs w:val="16"/>
              </w:rPr>
            </w:pPr>
            <w:r>
              <w:rPr>
                <w:iCs w:val="0"/>
                <w:szCs w:val="16"/>
              </w:rPr>
              <w:t>Karen Tobiasen</w:t>
            </w:r>
            <w:r w:rsidRPr="00482E1D">
              <w:rPr>
                <w:iCs w:val="0"/>
                <w:szCs w:val="16"/>
              </w:rPr>
              <w:tab/>
            </w:r>
          </w:p>
        </w:tc>
        <w:tc>
          <w:tcPr>
            <w:tcW w:w="606" w:type="pct"/>
          </w:tcPr>
          <w:p w:rsidR="008E4EC3" w:rsidRPr="00D556C9" w:rsidP="008E4EC3">
            <w:pPr>
              <w:pStyle w:val="TableMiddleRows"/>
              <w:tabs>
                <w:tab w:val="right" w:leader="dot" w:pos="3784"/>
                <w:tab w:val="clear" w:pos="4140"/>
              </w:tabs>
              <w:jc w:val="center"/>
              <w:rPr>
                <w:iCs w:val="0"/>
                <w:szCs w:val="16"/>
              </w:rPr>
            </w:pPr>
            <w:r>
              <w:rPr>
                <w:iCs w:val="0"/>
                <w:szCs w:val="16"/>
              </w:rPr>
              <w:t>1965</w:t>
            </w:r>
          </w:p>
        </w:tc>
        <w:tc>
          <w:tcPr>
            <w:tcW w:w="779" w:type="pct"/>
          </w:tcPr>
          <w:p w:rsidR="008E4EC3" w:rsidRPr="00D556C9" w:rsidP="008E4EC3">
            <w:pPr>
              <w:pStyle w:val="TableMiddleRows"/>
              <w:tabs>
                <w:tab w:val="right" w:leader="dot" w:pos="3784"/>
                <w:tab w:val="clear" w:pos="4140"/>
              </w:tabs>
              <w:jc w:val="center"/>
              <w:rPr>
                <w:iCs w:val="0"/>
                <w:szCs w:val="16"/>
              </w:rPr>
            </w:pPr>
            <w:r>
              <w:rPr>
                <w:iCs w:val="0"/>
                <w:szCs w:val="16"/>
              </w:rPr>
              <w:t>2016</w:t>
            </w:r>
          </w:p>
        </w:tc>
        <w:tc>
          <w:tcPr>
            <w:tcW w:w="2076" w:type="pct"/>
          </w:tcPr>
          <w:p w:rsidR="008E4EC3" w:rsidRPr="00D556C9" w:rsidP="008E4EC3">
            <w:pPr>
              <w:pStyle w:val="TableMiddleRows"/>
              <w:tabs>
                <w:tab w:val="right" w:leader="dot" w:pos="3784"/>
                <w:tab w:val="clear" w:pos="4140"/>
              </w:tabs>
              <w:ind w:left="66"/>
              <w:rPr>
                <w:iCs w:val="0"/>
                <w:szCs w:val="16"/>
              </w:rPr>
            </w:pPr>
            <w:r>
              <w:rPr>
                <w:iCs w:val="0"/>
                <w:szCs w:val="16"/>
              </w:rPr>
              <w:t>Chief of HR Officer,  H</w:t>
            </w:r>
            <w:r w:rsidRPr="00D334F4">
              <w:rPr>
                <w:iCs w:val="0"/>
                <w:szCs w:val="16"/>
              </w:rPr>
              <w:t>ead of Group Human Resources</w:t>
            </w:r>
          </w:p>
        </w:tc>
      </w:tr>
      <w:tr w:rsidTr="008E4EC3">
        <w:tblPrEx>
          <w:tblW w:w="4694" w:type="pct"/>
          <w:tblLayout w:type="fixed"/>
          <w:tblLook w:val="04A0"/>
        </w:tblPrEx>
        <w:trPr>
          <w:tblHeader/>
        </w:trPr>
        <w:tc>
          <w:tcPr>
            <w:tcW w:w="1538" w:type="pct"/>
          </w:tcPr>
          <w:p w:rsidR="008E4EC3" w:rsidP="008E4EC3">
            <w:pPr>
              <w:pStyle w:val="TableMiddleRows"/>
              <w:keepNext w:val="0"/>
              <w:widowControl w:val="0"/>
              <w:tabs>
                <w:tab w:val="right" w:leader="dot" w:pos="1966"/>
                <w:tab w:val="clear" w:pos="4140"/>
              </w:tabs>
              <w:jc w:val="left"/>
              <w:rPr>
                <w:iCs w:val="0"/>
                <w:szCs w:val="16"/>
              </w:rPr>
            </w:pPr>
            <w:r>
              <w:rPr>
                <w:iCs w:val="0"/>
                <w:szCs w:val="16"/>
              </w:rPr>
              <w:t>Topi Manner</w:t>
            </w:r>
            <w:r w:rsidRPr="00482E1D">
              <w:rPr>
                <w:iCs w:val="0"/>
                <w:szCs w:val="16"/>
              </w:rPr>
              <w:tab/>
            </w:r>
          </w:p>
        </w:tc>
        <w:tc>
          <w:tcPr>
            <w:tcW w:w="606" w:type="pct"/>
          </w:tcPr>
          <w:p w:rsidR="008E4EC3" w:rsidP="008E4EC3">
            <w:pPr>
              <w:pStyle w:val="TableMiddleRows"/>
              <w:tabs>
                <w:tab w:val="right" w:leader="dot" w:pos="3784"/>
                <w:tab w:val="clear" w:pos="4140"/>
              </w:tabs>
              <w:jc w:val="center"/>
              <w:rPr>
                <w:iCs w:val="0"/>
                <w:szCs w:val="16"/>
              </w:rPr>
            </w:pPr>
            <w:r>
              <w:rPr>
                <w:iCs w:val="0"/>
                <w:szCs w:val="16"/>
              </w:rPr>
              <w:t>1974</w:t>
            </w:r>
          </w:p>
        </w:tc>
        <w:tc>
          <w:tcPr>
            <w:tcW w:w="779" w:type="pct"/>
          </w:tcPr>
          <w:p w:rsidR="008E4EC3" w:rsidP="008E4EC3">
            <w:pPr>
              <w:pStyle w:val="TableMiddleRows"/>
              <w:tabs>
                <w:tab w:val="right" w:leader="dot" w:pos="3784"/>
                <w:tab w:val="clear" w:pos="4140"/>
              </w:tabs>
              <w:jc w:val="center"/>
              <w:rPr>
                <w:iCs w:val="0"/>
                <w:szCs w:val="16"/>
              </w:rPr>
            </w:pPr>
            <w:r>
              <w:rPr>
                <w:iCs w:val="0"/>
                <w:szCs w:val="16"/>
              </w:rPr>
              <w:t>2016</w:t>
            </w:r>
          </w:p>
        </w:tc>
        <w:tc>
          <w:tcPr>
            <w:tcW w:w="2076" w:type="pct"/>
          </w:tcPr>
          <w:p w:rsidR="008E4EC3" w:rsidP="008E4EC3">
            <w:pPr>
              <w:pStyle w:val="TableMiddleRows"/>
              <w:tabs>
                <w:tab w:val="right" w:leader="dot" w:pos="3784"/>
                <w:tab w:val="clear" w:pos="4140"/>
              </w:tabs>
              <w:ind w:left="66"/>
              <w:rPr>
                <w:iCs w:val="0"/>
                <w:szCs w:val="16"/>
              </w:rPr>
            </w:pPr>
            <w:r>
              <w:rPr>
                <w:iCs w:val="0"/>
                <w:szCs w:val="16"/>
              </w:rPr>
              <w:t>Executive Vice President, Head of Personal Banking</w:t>
            </w:r>
          </w:p>
        </w:tc>
      </w:tr>
      <w:tr w:rsidTr="008E4EC3">
        <w:tblPrEx>
          <w:tblW w:w="4694" w:type="pct"/>
          <w:tblLayout w:type="fixed"/>
          <w:tblLook w:val="04A0"/>
        </w:tblPrEx>
        <w:trPr>
          <w:tblHeader/>
        </w:trPr>
        <w:tc>
          <w:tcPr>
            <w:tcW w:w="1538" w:type="pct"/>
          </w:tcPr>
          <w:p w:rsidR="008E4EC3" w:rsidP="008E4EC3">
            <w:pPr>
              <w:pStyle w:val="TableMiddleRows"/>
              <w:keepNext w:val="0"/>
              <w:widowControl w:val="0"/>
              <w:tabs>
                <w:tab w:val="right" w:leader="dot" w:pos="1966"/>
                <w:tab w:val="clear" w:pos="4140"/>
              </w:tabs>
              <w:jc w:val="left"/>
              <w:rPr>
                <w:iCs w:val="0"/>
                <w:szCs w:val="16"/>
              </w:rPr>
            </w:pPr>
            <w:r w:rsidRPr="00D326EE">
              <w:rPr>
                <w:iCs w:val="0"/>
                <w:szCs w:val="16"/>
              </w:rPr>
              <w:t>Matthew Elderfield</w:t>
            </w:r>
            <w:r w:rsidRPr="00D556C9">
              <w:rPr>
                <w:iCs w:val="0"/>
                <w:szCs w:val="16"/>
              </w:rPr>
              <w:tab/>
            </w:r>
          </w:p>
        </w:tc>
        <w:tc>
          <w:tcPr>
            <w:tcW w:w="606" w:type="pct"/>
          </w:tcPr>
          <w:p w:rsidR="008E4EC3" w:rsidP="008E4EC3">
            <w:pPr>
              <w:pStyle w:val="TableMiddleRows"/>
              <w:tabs>
                <w:tab w:val="right" w:leader="dot" w:pos="3784"/>
                <w:tab w:val="clear" w:pos="4140"/>
              </w:tabs>
              <w:jc w:val="center"/>
              <w:rPr>
                <w:iCs w:val="0"/>
                <w:szCs w:val="16"/>
              </w:rPr>
            </w:pPr>
            <w:r>
              <w:rPr>
                <w:iCs w:val="0"/>
                <w:szCs w:val="16"/>
              </w:rPr>
              <w:t>1966</w:t>
            </w:r>
          </w:p>
        </w:tc>
        <w:tc>
          <w:tcPr>
            <w:tcW w:w="779" w:type="pct"/>
          </w:tcPr>
          <w:p w:rsidR="008E4EC3" w:rsidP="008E4EC3">
            <w:pPr>
              <w:pStyle w:val="TableMiddleRows"/>
              <w:tabs>
                <w:tab w:val="right" w:leader="dot" w:pos="3784"/>
                <w:tab w:val="clear" w:pos="4140"/>
              </w:tabs>
              <w:jc w:val="center"/>
              <w:rPr>
                <w:iCs w:val="0"/>
                <w:szCs w:val="16"/>
              </w:rPr>
            </w:pPr>
            <w:r>
              <w:rPr>
                <w:iCs w:val="0"/>
                <w:szCs w:val="16"/>
              </w:rPr>
              <w:t>2016</w:t>
            </w:r>
          </w:p>
        </w:tc>
        <w:tc>
          <w:tcPr>
            <w:tcW w:w="2076" w:type="pct"/>
          </w:tcPr>
          <w:p w:rsidR="008E4EC3" w:rsidP="008E4EC3">
            <w:pPr>
              <w:pStyle w:val="TableMiddleRows"/>
              <w:tabs>
                <w:tab w:val="right" w:leader="dot" w:pos="3784"/>
                <w:tab w:val="clear" w:pos="4140"/>
              </w:tabs>
              <w:ind w:left="66"/>
              <w:rPr>
                <w:iCs w:val="0"/>
                <w:szCs w:val="16"/>
              </w:rPr>
            </w:pPr>
            <w:r>
              <w:rPr>
                <w:iCs w:val="0"/>
                <w:szCs w:val="16"/>
              </w:rPr>
              <w:t>Head of Group Compliance and Group Compliance Officer</w:t>
            </w:r>
          </w:p>
        </w:tc>
      </w:tr>
      <w:tr w:rsidTr="008E4EC3">
        <w:tblPrEx>
          <w:tblW w:w="4694" w:type="pct"/>
          <w:tblLayout w:type="fixed"/>
          <w:tblLook w:val="04A0"/>
        </w:tblPrEx>
        <w:trPr>
          <w:tblHeader/>
        </w:trPr>
        <w:tc>
          <w:tcPr>
            <w:tcW w:w="1538" w:type="pct"/>
          </w:tcPr>
          <w:p w:rsidR="008E4EC3" w:rsidRPr="00D326EE" w:rsidP="008E4EC3">
            <w:pPr>
              <w:pStyle w:val="TableMiddleRows"/>
              <w:tabs>
                <w:tab w:val="right" w:leader="dot" w:pos="1966"/>
                <w:tab w:val="clear" w:pos="4140"/>
              </w:tabs>
              <w:jc w:val="left"/>
              <w:rPr>
                <w:iCs w:val="0"/>
                <w:szCs w:val="16"/>
              </w:rPr>
            </w:pPr>
            <w:r w:rsidRPr="0018206F">
              <w:rPr>
                <w:iCs w:val="0"/>
                <w:szCs w:val="16"/>
              </w:rPr>
              <w:t>Martin Persson</w:t>
            </w:r>
            <w:r w:rsidRPr="00482E1D">
              <w:rPr>
                <w:iCs w:val="0"/>
                <w:szCs w:val="16"/>
              </w:rPr>
              <w:tab/>
            </w:r>
          </w:p>
        </w:tc>
        <w:tc>
          <w:tcPr>
            <w:tcW w:w="606" w:type="pct"/>
          </w:tcPr>
          <w:p w:rsidR="008E4EC3" w:rsidP="00314D55">
            <w:pPr>
              <w:pStyle w:val="TableMiddleRows"/>
              <w:tabs>
                <w:tab w:val="right" w:leader="dot" w:pos="3784"/>
                <w:tab w:val="clear" w:pos="4140"/>
              </w:tabs>
              <w:jc w:val="center"/>
              <w:rPr>
                <w:iCs w:val="0"/>
                <w:szCs w:val="16"/>
              </w:rPr>
            </w:pPr>
            <w:r>
              <w:rPr>
                <w:iCs w:val="0"/>
                <w:szCs w:val="16"/>
              </w:rPr>
              <w:t>1975</w:t>
            </w:r>
          </w:p>
        </w:tc>
        <w:tc>
          <w:tcPr>
            <w:tcW w:w="779" w:type="pct"/>
          </w:tcPr>
          <w:p w:rsidR="008E4EC3" w:rsidP="008E4EC3">
            <w:pPr>
              <w:pStyle w:val="TableMiddleRows"/>
              <w:tabs>
                <w:tab w:val="right" w:leader="dot" w:pos="3784"/>
                <w:tab w:val="clear" w:pos="4140"/>
              </w:tabs>
              <w:jc w:val="center"/>
              <w:rPr>
                <w:iCs w:val="0"/>
                <w:szCs w:val="16"/>
              </w:rPr>
            </w:pPr>
            <w:r>
              <w:rPr>
                <w:iCs w:val="0"/>
                <w:szCs w:val="16"/>
              </w:rPr>
              <w:t>2016</w:t>
            </w:r>
          </w:p>
        </w:tc>
        <w:tc>
          <w:tcPr>
            <w:tcW w:w="2076" w:type="pct"/>
          </w:tcPr>
          <w:p w:rsidR="008E4EC3" w:rsidP="008E4EC3">
            <w:pPr>
              <w:pStyle w:val="TableMiddleRows"/>
              <w:tabs>
                <w:tab w:val="right" w:leader="dot" w:pos="3784"/>
                <w:tab w:val="clear" w:pos="4140"/>
              </w:tabs>
              <w:ind w:left="66"/>
              <w:rPr>
                <w:iCs w:val="0"/>
                <w:szCs w:val="16"/>
              </w:rPr>
            </w:pPr>
            <w:r w:rsidRPr="0018206F">
              <w:rPr>
                <w:iCs w:val="0"/>
                <w:szCs w:val="16"/>
                <w:lang w:val="en-GB"/>
              </w:rPr>
              <w:t>Head of Wholesale Banking</w:t>
            </w:r>
          </w:p>
        </w:tc>
      </w:tr>
    </w:tbl>
    <w:p w:rsidR="008E4EC3" w:rsidP="008E4EC3">
      <w:pPr>
        <w:pStyle w:val="BodyText"/>
      </w:pPr>
    </w:p>
    <w:p w:rsidR="008E4EC3" w:rsidRPr="008E4EC3" w:rsidP="008E4EC3">
      <w:pPr>
        <w:pStyle w:val="BodyText"/>
      </w:pPr>
      <w:r w:rsidRPr="008E4EC3">
        <w:t>The members of the Group Executive Management have the following office address: c/o Nordea Bank AB (publ), Smålandsgatan 17, SE-105 71 Stockholm, Sweden.</w:t>
      </w:r>
    </w:p>
    <w:p w:rsidR="008E4EC3" w:rsidRPr="008E4EC3" w:rsidP="008E4EC3">
      <w:pPr>
        <w:pStyle w:val="BodyText"/>
      </w:pPr>
      <w:r w:rsidRPr="008E4EC3">
        <w:t>No potential conflicts of interest exist between any duties to NBAB of a member of the Group Executive Management and the private interests or other duties of such persons.</w:t>
      </w:r>
    </w:p>
    <w:p w:rsidR="008E4EC3" w:rsidRPr="008E4EC3" w:rsidP="008E4EC3">
      <w:pPr>
        <w:pStyle w:val="BodyText"/>
      </w:pPr>
      <w:r w:rsidRPr="008E4EC3">
        <w:rPr>
          <w:i/>
        </w:rPr>
        <w:t>Casper von Koskull</w:t>
      </w:r>
      <w:r w:rsidRPr="008E4EC3">
        <w:t xml:space="preserve"> has been the President and Group CEO of Nordea since 2015 and has been a member of Group Executive Management since 2010.  Mr. von Koskull joined the Nordea Group in 2010 and was Head of Corporate Merchant Banking &amp; Capital Markets from 2010 to 2011.  As of the date of this Base Prospectus, Mr. von Koskull is a board member of the European Business Leader’s convention and member of the board of the Swedish Bankers' Association.</w:t>
      </w:r>
    </w:p>
    <w:p w:rsidR="008E4EC3" w:rsidRPr="008E4EC3" w:rsidP="008E4EC3">
      <w:pPr>
        <w:pStyle w:val="BodyText"/>
      </w:pPr>
      <w:r w:rsidRPr="008E4EC3">
        <w:rPr>
          <w:i/>
        </w:rPr>
        <w:t>Torsten Hagen Jørgensen</w:t>
      </w:r>
      <w:r w:rsidRPr="008E4EC3">
        <w:t xml:space="preserve"> has been Deputy CEO and Group Chief Operating Officer since 2015 and has been Executive Vice President, and Head of Group Corporate Centre since 2013. He has been a member of Group Executive Management since 2011. Mr Jørgensen joined the Nordea Group in 2005 and has held several executive positions within the Nordea Group. </w:t>
      </w:r>
    </w:p>
    <w:p w:rsidR="008E4EC3" w:rsidRPr="008E4EC3" w:rsidP="008E4EC3">
      <w:pPr>
        <w:pStyle w:val="BodyText"/>
      </w:pPr>
      <w:r w:rsidRPr="008E4EC3">
        <w:rPr>
          <w:i/>
          <w:iCs/>
        </w:rPr>
        <w:t>Erik Ekman</w:t>
      </w:r>
      <w:r w:rsidRPr="008E4EC3">
        <w:rPr>
          <w:i/>
        </w:rPr>
        <w:t xml:space="preserve"> </w:t>
      </w:r>
      <w:r w:rsidRPr="008E4EC3">
        <w:rPr>
          <w:iCs/>
        </w:rPr>
        <w:t>has been Executive Vice President and a member of Group Executive Management since 2015, a Country Senior Executive in Sweden since 1 July 2016 and Head of Commercial and Business Banking since 1 November 2016. Mr. Ekman joined the Nordea Group in 2008 and has held several executive positions within the Nordea Group.</w:t>
      </w:r>
    </w:p>
    <w:p w:rsidR="008E4EC3" w:rsidRPr="008E4EC3" w:rsidP="008E4EC3">
      <w:pPr>
        <w:pStyle w:val="BodyText"/>
        <w:rPr>
          <w:lang w:val="en-US"/>
        </w:rPr>
      </w:pPr>
      <w:r w:rsidRPr="008E4EC3">
        <w:rPr>
          <w:i/>
          <w:iCs/>
          <w:lang w:val="en-US"/>
        </w:rPr>
        <w:t>Heikki Ilkka</w:t>
      </w:r>
      <w:r w:rsidRPr="008E4EC3">
        <w:rPr>
          <w:i/>
          <w:lang w:val="en-US"/>
        </w:rPr>
        <w:t xml:space="preserve"> </w:t>
      </w:r>
      <w:r w:rsidRPr="008E4EC3">
        <w:rPr>
          <w:lang w:val="en-US"/>
        </w:rPr>
        <w:t xml:space="preserve">has been Executive Vice President, Group CFO and Head of Group Finance and Business Control and a member of Group Executive Management since 2016. Mr. Ilkka joined Nordea in 2015 as </w:t>
      </w:r>
      <w:r w:rsidRPr="008E4EC3">
        <w:rPr>
          <w:lang w:val="en-US"/>
        </w:rPr>
        <w:t xml:space="preserve">Head of Group Finance following a long career with Ernst &amp; Young in Finland, most recently as senior partner. </w:t>
      </w:r>
    </w:p>
    <w:p w:rsidR="008E4EC3" w:rsidRPr="008E4EC3" w:rsidP="008E4EC3">
      <w:pPr>
        <w:pStyle w:val="BodyText"/>
      </w:pPr>
      <w:r w:rsidRPr="00E67C03">
        <w:rPr>
          <w:i/>
          <w:iCs/>
          <w:szCs w:val="16"/>
        </w:rPr>
        <w:t>Julie Galbo</w:t>
      </w:r>
      <w:r>
        <w:t xml:space="preserve"> </w:t>
      </w:r>
      <w:r w:rsidRPr="008E4EC3">
        <w:rPr>
          <w:lang w:val="en-US"/>
        </w:rPr>
        <w:t xml:space="preserve">has been </w:t>
      </w:r>
      <w:r w:rsidRPr="00E67C03">
        <w:rPr>
          <w:lang w:val="en-US"/>
        </w:rPr>
        <w:t>Head of Group Risk Management and Control</w:t>
      </w:r>
      <w:r w:rsidRPr="008E4EC3">
        <w:rPr>
          <w:lang w:val="en-US"/>
        </w:rPr>
        <w:t xml:space="preserve"> and a member of Group Executive Management since 201</w:t>
      </w:r>
      <w:r>
        <w:rPr>
          <w:lang w:val="en-US"/>
        </w:rPr>
        <w:t>7</w:t>
      </w:r>
      <w:r w:rsidRPr="008E4EC3">
        <w:rPr>
          <w:lang w:val="en-US"/>
        </w:rPr>
        <w:t xml:space="preserve">. </w:t>
      </w:r>
      <w:r w:rsidRPr="003F2478" w:rsidR="003F2478">
        <w:t>Ms. Galbo joined the Nordea Group in 2014 and has held executive positions within the Nordea Group</w:t>
      </w:r>
      <w:r w:rsidR="003F2478">
        <w:t>.</w:t>
      </w:r>
    </w:p>
    <w:p w:rsidR="008E4EC3" w:rsidRPr="008E4EC3" w:rsidP="008E4EC3">
      <w:pPr>
        <w:pStyle w:val="BodyText"/>
        <w:rPr>
          <w:lang w:val="en-US"/>
        </w:rPr>
      </w:pPr>
      <w:r w:rsidRPr="008E4EC3">
        <w:rPr>
          <w:i/>
          <w:lang w:val="en-US"/>
        </w:rPr>
        <w:t xml:space="preserve">Snorre Storset </w:t>
      </w:r>
      <w:r w:rsidRPr="008E4EC3">
        <w:rPr>
          <w:lang w:val="en-US"/>
        </w:rPr>
        <w:t>has been Executive Vice President, Head of Wealth Management and Country Senior Executive in Norway since 2016 and a member of Group Executive Management since 2015. Ms. Storset has held several executive positions since he joined the Nordea Group in 2011, most recently as Deputy Head of Wealth Management and Head of Private Banking from 2015 to 2016.</w:t>
      </w:r>
    </w:p>
    <w:p w:rsidR="008E4EC3" w:rsidRPr="008E4EC3" w:rsidP="008E4EC3">
      <w:pPr>
        <w:pStyle w:val="BodyText"/>
        <w:rPr>
          <w:lang w:val="en-US"/>
        </w:rPr>
      </w:pPr>
      <w:r w:rsidRPr="008E4EC3">
        <w:rPr>
          <w:i/>
          <w:iCs/>
          <w:lang w:val="en-US"/>
        </w:rPr>
        <w:t xml:space="preserve">Karen Tobiasen, </w:t>
      </w:r>
      <w:r w:rsidRPr="008E4EC3">
        <w:rPr>
          <w:lang w:val="en-US"/>
        </w:rPr>
        <w:t>has been Head of Group Human Resources and a member of group Executive Management since 1 July 2016. Ms Tobiasen was Chief HR Officer at Philips Lighting, a division of the Royal Philips Group, where she had the global responsibility for HR &amp; Transformation. Prior to working at Philips Lighting she held a number of senior international roles at SAP EMEA, most recently as Senior Vice President, HR &amp; Transformation.</w:t>
      </w:r>
    </w:p>
    <w:p w:rsidR="008E4EC3" w:rsidRPr="008E4EC3" w:rsidP="008E4EC3">
      <w:pPr>
        <w:pStyle w:val="BodyText"/>
        <w:rPr>
          <w:lang w:val="en-US"/>
        </w:rPr>
      </w:pPr>
      <w:r w:rsidRPr="008E4EC3">
        <w:rPr>
          <w:i/>
        </w:rPr>
        <w:t>Topi Manner</w:t>
      </w:r>
      <w:r w:rsidRPr="008E4EC3">
        <w:t xml:space="preserve"> has been Executive Vice President, Head of Personal Banking and a member of Group Executive Management since 1 July 2016. Mr Manner has also been CEO of NBF since 2015. Mr Manner has been with Nordea (formerly Merita) since 1998 and has held several senior positions within Retail Banking, including Head of Banking, Finland and Baltics.</w:t>
      </w:r>
    </w:p>
    <w:p w:rsidR="008E4EC3" w:rsidRPr="008E4EC3" w:rsidP="008E4EC3">
      <w:pPr>
        <w:pStyle w:val="BodyText"/>
        <w:rPr>
          <w:lang w:val="en-US"/>
        </w:rPr>
      </w:pPr>
      <w:r w:rsidRPr="008E4EC3">
        <w:rPr>
          <w:i/>
          <w:lang w:val="en-US"/>
        </w:rPr>
        <w:t>Matthew Elderfield</w:t>
      </w:r>
      <w:r w:rsidRPr="008E4EC3">
        <w:rPr>
          <w:lang w:val="en-US"/>
        </w:rPr>
        <w:t xml:space="preserve"> has been Head of Group Compliance, Group Compliance Officer and a member of Group Executive Management since 2016. Mr. Elderfield joined the Nordea Group in 2016.</w:t>
      </w:r>
    </w:p>
    <w:p w:rsidR="008E4EC3" w:rsidP="008E4EC3">
      <w:pPr>
        <w:pStyle w:val="BodyText"/>
        <w:rPr>
          <w:lang w:val="en-US"/>
        </w:rPr>
      </w:pPr>
      <w:r w:rsidRPr="008E4EC3">
        <w:rPr>
          <w:i/>
          <w:lang w:val="en-US"/>
        </w:rPr>
        <w:t>Martin Persson</w:t>
      </w:r>
      <w:r w:rsidRPr="008E4EC3">
        <w:rPr>
          <w:lang w:val="en-US"/>
        </w:rPr>
        <w:t xml:space="preserve"> has been Head of Wholesale Banking and a member of Group Executive Management since 2016. Mr. Persson acted as the Co-Head of Markets Equities since joining Nordea in 2012 till his current appointment.</w:t>
      </w:r>
    </w:p>
    <w:p w:rsidR="00E67C03" w:rsidRPr="00B21B51" w:rsidP="00E67C03">
      <w:pPr>
        <w:pStyle w:val="Title7"/>
        <w:rPr>
          <w:b/>
          <w:i w:val="0"/>
          <w:lang w:val="sv-SE"/>
        </w:rPr>
      </w:pPr>
      <w:r>
        <w:rPr>
          <w:b/>
          <w:i w:val="0"/>
          <w:lang w:val="sv-SE"/>
        </w:rPr>
        <w:t xml:space="preserve">ESTABLISHMENT OF GROUP CREDIT RISK MANAGEMENT </w:t>
      </w:r>
    </w:p>
    <w:p w:rsidR="00DA0DEE" w:rsidP="00E67C03">
      <w:pPr>
        <w:pStyle w:val="BodyText"/>
        <w:widowControl w:val="0"/>
      </w:pPr>
      <w:r>
        <w:rPr>
          <w:szCs w:val="20"/>
        </w:rPr>
        <w:t xml:space="preserve">Nordea has </w:t>
      </w:r>
      <w:r w:rsidRPr="00E67C03">
        <w:rPr>
          <w:szCs w:val="20"/>
        </w:rPr>
        <w:t>establishe</w:t>
      </w:r>
      <w:r>
        <w:rPr>
          <w:szCs w:val="20"/>
        </w:rPr>
        <w:t>d</w:t>
      </w:r>
      <w:r w:rsidRPr="00E67C03">
        <w:rPr>
          <w:szCs w:val="20"/>
        </w:rPr>
        <w:t xml:space="preserve"> a new unit called Group Credit Ris</w:t>
      </w:r>
      <w:r>
        <w:rPr>
          <w:szCs w:val="20"/>
        </w:rPr>
        <w:t xml:space="preserve">k Management separate from its </w:t>
      </w:r>
      <w:r w:rsidRPr="00E67C03">
        <w:rPr>
          <w:szCs w:val="20"/>
        </w:rPr>
        <w:t>internal control unit and the Chief Risk Officer (</w:t>
      </w:r>
      <w:r w:rsidR="004C061D">
        <w:rPr>
          <w:szCs w:val="20"/>
        </w:rPr>
        <w:t>"</w:t>
      </w:r>
      <w:r w:rsidRPr="004C061D">
        <w:rPr>
          <w:b/>
          <w:szCs w:val="20"/>
        </w:rPr>
        <w:t>CRO</w:t>
      </w:r>
      <w:r w:rsidR="004C061D">
        <w:rPr>
          <w:szCs w:val="20"/>
        </w:rPr>
        <w:t>"</w:t>
      </w:r>
      <w:r w:rsidRPr="00E67C03">
        <w:rPr>
          <w:szCs w:val="20"/>
        </w:rPr>
        <w:t>).</w:t>
      </w:r>
      <w:r>
        <w:rPr>
          <w:szCs w:val="20"/>
        </w:rPr>
        <w:t xml:space="preserve"> </w:t>
      </w:r>
      <w:r w:rsidRPr="00E67C03">
        <w:rPr>
          <w:szCs w:val="20"/>
        </w:rPr>
        <w:t xml:space="preserve">The new unit will be responsible for </w:t>
      </w:r>
      <w:r>
        <w:rPr>
          <w:szCs w:val="20"/>
        </w:rPr>
        <w:t xml:space="preserve">Nordea's </w:t>
      </w:r>
      <w:r w:rsidRPr="00E67C03">
        <w:rPr>
          <w:szCs w:val="20"/>
        </w:rPr>
        <w:t xml:space="preserve">credit risk management including credit decision process and credit committee work, credit analysis and credit processes. </w:t>
      </w:r>
      <w:r w:rsidRPr="004C061D" w:rsidR="004C061D">
        <w:rPr>
          <w:szCs w:val="20"/>
        </w:rPr>
        <w:t>Ari Kaperi, acts as Head of Group Credit Risk Management and has left Group Executive Management as from 1 January 2017. Julie Galbo</w:t>
      </w:r>
      <w:r w:rsidR="003F2E95">
        <w:rPr>
          <w:szCs w:val="20"/>
        </w:rPr>
        <w:t xml:space="preserve"> has joined</w:t>
      </w:r>
      <w:r w:rsidRPr="004C061D" w:rsidR="004C061D">
        <w:rPr>
          <w:szCs w:val="20"/>
        </w:rPr>
        <w:t xml:space="preserve"> as a member of Group Executive Management and Head of Group Risk Management and Control as from 1 January 2017.</w:t>
      </w:r>
    </w:p>
    <w:p w:rsidR="00DA0DEE" w:rsidRPr="00DA0DEE" w:rsidP="00DA0DEE">
      <w:pPr>
        <w:pStyle w:val="BodyText"/>
      </w:pPr>
    </w:p>
    <w:p w:rsidR="00BC0214" w:rsidP="00BC0214">
      <w:pPr>
        <w:pStyle w:val="BodyText"/>
        <w:rPr>
          <w:lang w:val="en-US"/>
        </w:rPr>
      </w:pPr>
    </w:p>
    <w:p w:rsidR="00BC0214" w:rsidP="00BC0214">
      <w:pPr>
        <w:pStyle w:val="BodyText"/>
        <w:rPr>
          <w:lang w:val="en-US"/>
        </w:rPr>
      </w:pPr>
    </w:p>
    <w:p w:rsidR="00E55762" w:rsidP="00BC0214">
      <w:pPr>
        <w:pStyle w:val="BodyText"/>
        <w:rPr>
          <w:lang w:val="en-US"/>
        </w:rPr>
      </w:pPr>
    </w:p>
    <w:p w:rsidR="00E55762" w:rsidP="00BC0214">
      <w:pPr>
        <w:pStyle w:val="BodyText"/>
        <w:rPr>
          <w:lang w:val="en-US"/>
        </w:rPr>
      </w:pPr>
    </w:p>
    <w:p w:rsidR="00E55762" w:rsidP="00BC0214">
      <w:pPr>
        <w:pStyle w:val="BodyText"/>
        <w:rPr>
          <w:lang w:val="en-US"/>
        </w:rPr>
      </w:pPr>
    </w:p>
    <w:p w:rsidR="00E55762" w:rsidRPr="004A13B7" w:rsidP="00E55762">
      <w:pPr>
        <w:pStyle w:val="Title1"/>
        <w:spacing w:after="240"/>
        <w:rPr>
          <w:rFonts w:hint="eastAsia"/>
          <w:lang w:val="sv-SE"/>
        </w:rPr>
      </w:pPr>
      <w:r>
        <w:rPr>
          <w:noProof/>
          <w:lang w:val="sv-SE" w:bidi="ar-SA"/>
        </w:rPr>
        <w:t>TILLÄGGSPROSPEKT NR. 4</w:t>
      </w:r>
      <w:r w:rsidRPr="004A13B7">
        <w:rPr>
          <w:noProof/>
          <w:lang w:val="sv-SE" w:bidi="ar-SA"/>
        </w:rPr>
        <w:t xml:space="preserve"> DATERAT </w:t>
      </w:r>
      <w:r>
        <w:rPr>
          <w:noProof/>
          <w:lang w:val="sv-SE" w:bidi="ar-SA"/>
        </w:rPr>
        <w:t>5 JANUARI 2017</w:t>
      </w:r>
      <w:r w:rsidRPr="004A13B7">
        <w:rPr>
          <w:noProof/>
          <w:lang w:val="sv-SE" w:bidi="ar-SA"/>
        </w:rPr>
        <w:t xml:space="preserve"> TILL GRUNDPROSPEKTET DATERAT </w:t>
      </w:r>
      <w:r>
        <w:rPr>
          <w:noProof/>
          <w:lang w:val="sv-SE" w:bidi="ar-SA"/>
        </w:rPr>
        <w:t>15</w:t>
      </w:r>
      <w:r w:rsidRPr="004A13B7">
        <w:rPr>
          <w:noProof/>
          <w:lang w:val="sv-SE" w:bidi="ar-SA"/>
        </w:rPr>
        <w:t xml:space="preserve"> </w:t>
      </w:r>
      <w:r>
        <w:rPr>
          <w:noProof/>
          <w:lang w:val="sv-SE" w:bidi="ar-SA"/>
        </w:rPr>
        <w:t>JUNI</w:t>
      </w:r>
      <w:r w:rsidRPr="004A13B7">
        <w:rPr>
          <w:noProof/>
          <w:lang w:val="sv-SE" w:bidi="ar-SA"/>
        </w:rPr>
        <w:t xml:space="preserve"> </w:t>
      </w:r>
      <w:r>
        <w:rPr>
          <w:lang w:val="sv-SE"/>
        </w:rPr>
        <w:t>2016</w:t>
      </w:r>
    </w:p>
    <w:p w:rsidR="00E55762" w:rsidRPr="002E3D6C" w:rsidP="00E55762">
      <w:pPr>
        <w:pStyle w:val="BodyText"/>
        <w:widowControl w:val="0"/>
        <w:jc w:val="center"/>
        <w:rPr>
          <w:szCs w:val="20"/>
          <w:lang w:val="sv-SE"/>
        </w:rPr>
      </w:pPr>
      <w:r w:rsidRPr="002E3D6C">
        <w:rPr>
          <w:noProof/>
          <w:szCs w:val="20"/>
          <w:lang w:eastAsia="en-GB"/>
        </w:rPr>
        <w:drawing>
          <wp:inline distT="0" distB="0" distL="0" distR="0">
            <wp:extent cx="2096219" cy="895722"/>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xmlns:r="http://schemas.openxmlformats.org/officeDocument/2006/relationships" r:embed="rId15" cstate="print"/>
                    <a:srcRect/>
                    <a:stretch>
                      <a:fillRect/>
                    </a:stretch>
                  </pic:blipFill>
                  <pic:spPr bwMode="auto">
                    <a:xfrm>
                      <a:off x="0" y="0"/>
                      <a:ext cx="2107785" cy="900664"/>
                    </a:xfrm>
                    <a:prstGeom prst="rect">
                      <a:avLst/>
                    </a:prstGeom>
                    <a:noFill/>
                    <a:ln w="9525">
                      <a:noFill/>
                      <a:miter lim="800000"/>
                      <a:headEnd/>
                      <a:tailEnd/>
                    </a:ln>
                  </pic:spPr>
                </pic:pic>
              </a:graphicData>
            </a:graphic>
          </wp:inline>
        </w:drawing>
      </w:r>
    </w:p>
    <w:p w:rsidR="00E55762" w:rsidRPr="004A13B7" w:rsidP="00E55762">
      <w:pPr>
        <w:pStyle w:val="BodyText"/>
        <w:widowControl w:val="0"/>
        <w:spacing w:after="0"/>
        <w:jc w:val="center"/>
        <w:rPr>
          <w:b/>
          <w:bCs/>
          <w:szCs w:val="20"/>
          <w:lang w:val="sv-SE"/>
        </w:rPr>
      </w:pPr>
      <w:r w:rsidRPr="004A13B7">
        <w:rPr>
          <w:b/>
          <w:bCs/>
          <w:szCs w:val="20"/>
          <w:lang w:val="sv-SE"/>
        </w:rPr>
        <w:t>NORDEA BANK AB (PUBL)</w:t>
      </w:r>
    </w:p>
    <w:p w:rsidR="00E55762" w:rsidRPr="004A13B7" w:rsidP="00E55762">
      <w:pPr>
        <w:pStyle w:val="BodyText"/>
        <w:widowControl w:val="0"/>
        <w:spacing w:after="240"/>
        <w:jc w:val="center"/>
        <w:rPr>
          <w:i/>
          <w:iCs/>
          <w:szCs w:val="20"/>
          <w:lang w:val="sv-SE"/>
        </w:rPr>
      </w:pPr>
      <w:r w:rsidRPr="004A13B7">
        <w:rPr>
          <w:i/>
          <w:iCs/>
          <w:szCs w:val="20"/>
          <w:lang w:val="sv-SE"/>
        </w:rPr>
        <w:t>(Registrerat aktiebolag i Konungariket Sverige)</w:t>
      </w:r>
    </w:p>
    <w:p w:rsidR="00E55762" w:rsidRPr="004A13B7" w:rsidP="00E55762">
      <w:pPr>
        <w:pStyle w:val="BodyText"/>
        <w:widowControl w:val="0"/>
        <w:spacing w:after="360"/>
        <w:jc w:val="center"/>
        <w:rPr>
          <w:b/>
          <w:bCs/>
          <w:szCs w:val="20"/>
          <w:lang w:val="sv-SE"/>
        </w:rPr>
      </w:pPr>
      <w:r>
        <w:rPr>
          <w:b/>
          <w:bCs/>
          <w:szCs w:val="20"/>
          <w:lang w:val="sv-SE"/>
        </w:rPr>
        <w:t>Program för Warranter och Certifikat</w:t>
      </w:r>
    </w:p>
    <w:p w:rsidR="00E55762" w:rsidRPr="004A13B7" w:rsidP="00E55762">
      <w:pPr>
        <w:pStyle w:val="BodyText"/>
        <w:widowControl w:val="0"/>
        <w:rPr>
          <w:szCs w:val="20"/>
          <w:lang w:val="sv-SE"/>
        </w:rPr>
      </w:pPr>
      <w:r>
        <w:rPr>
          <w:szCs w:val="20"/>
          <w:lang w:val="sv-SE"/>
        </w:rPr>
        <w:t>Detta Tilläggsprospekt nr. 4</w:t>
      </w:r>
      <w:r w:rsidRPr="004A13B7">
        <w:rPr>
          <w:szCs w:val="20"/>
          <w:lang w:val="sv-SE"/>
        </w:rPr>
        <w:t xml:space="preserve"> ("</w:t>
      </w:r>
      <w:r w:rsidRPr="004A13B7">
        <w:rPr>
          <w:b/>
          <w:szCs w:val="20"/>
          <w:lang w:val="sv-SE"/>
        </w:rPr>
        <w:t>Tilläggsprospektet</w:t>
      </w:r>
      <w:r w:rsidRPr="004A13B7">
        <w:rPr>
          <w:szCs w:val="20"/>
          <w:lang w:val="sv-SE"/>
        </w:rPr>
        <w:t>") är ett tillägg till, och måste läsas tillsammans med, grundprospektet daterat den 1</w:t>
      </w:r>
      <w:r>
        <w:rPr>
          <w:szCs w:val="20"/>
          <w:lang w:val="sv-SE"/>
        </w:rPr>
        <w:t>5</w:t>
      </w:r>
      <w:r w:rsidRPr="004A13B7">
        <w:rPr>
          <w:szCs w:val="20"/>
          <w:lang w:val="sv-SE"/>
        </w:rPr>
        <w:t xml:space="preserve"> </w:t>
      </w:r>
      <w:r>
        <w:rPr>
          <w:szCs w:val="20"/>
          <w:lang w:val="sv-SE"/>
        </w:rPr>
        <w:t>juni 2016, tilläggsprospektet nummer 1 daterat den 12 augusti 2016, tilläggsprospektet nummer 2 daterat den 3 oktober 2016 och tilläggsprospekt nummer 3 daterat den 7 november 2016 (tillsammans, ”</w:t>
      </w:r>
      <w:r w:rsidRPr="00B733B1">
        <w:rPr>
          <w:b/>
          <w:szCs w:val="20"/>
          <w:lang w:val="sv-SE"/>
        </w:rPr>
        <w:t>Grundprospektet</w:t>
      </w:r>
      <w:r>
        <w:rPr>
          <w:szCs w:val="20"/>
          <w:lang w:val="sv-SE"/>
        </w:rPr>
        <w:t>”) upprättat av Nordea Bank AB (publ) ("</w:t>
      </w:r>
      <w:r w:rsidRPr="001818EC">
        <w:rPr>
          <w:b/>
          <w:szCs w:val="20"/>
          <w:lang w:val="sv-SE"/>
        </w:rPr>
        <w:t>NBAB</w:t>
      </w:r>
      <w:r>
        <w:rPr>
          <w:szCs w:val="20"/>
          <w:lang w:val="sv-SE"/>
        </w:rPr>
        <w:t>") för dess Program för Warranter och Certifikat</w:t>
      </w:r>
      <w:r w:rsidRPr="004A13B7">
        <w:rPr>
          <w:szCs w:val="20"/>
          <w:lang w:val="sv-SE"/>
        </w:rPr>
        <w:t xml:space="preserve"> ("</w:t>
      </w:r>
      <w:r w:rsidRPr="004A13B7">
        <w:rPr>
          <w:b/>
          <w:szCs w:val="20"/>
          <w:lang w:val="sv-SE"/>
        </w:rPr>
        <w:t>Programmet</w:t>
      </w:r>
      <w:r w:rsidRPr="004A13B7">
        <w:rPr>
          <w:szCs w:val="20"/>
          <w:lang w:val="sv-SE"/>
        </w:rPr>
        <w:t>") och utgör ett tillägg i enlighet med Artikel 16 i direktiv 2003/71/EG, såsom ändrat ("</w:t>
      </w:r>
      <w:r w:rsidRPr="004A13B7">
        <w:rPr>
          <w:b/>
          <w:szCs w:val="20"/>
          <w:lang w:val="sv-SE"/>
        </w:rPr>
        <w:t>Prospektdirektivet</w:t>
      </w:r>
      <w:r w:rsidRPr="004A13B7">
        <w:rPr>
          <w:szCs w:val="20"/>
          <w:lang w:val="sv-SE"/>
        </w:rPr>
        <w:t xml:space="preserve">"). Definierade termer i Grundprospektet har samma betydelse när de används i detta Tilläggsprospekt. </w:t>
      </w:r>
    </w:p>
    <w:p w:rsidR="00E55762" w:rsidRPr="004A13B7" w:rsidP="00E55762">
      <w:pPr>
        <w:pStyle w:val="BodyText"/>
        <w:widowControl w:val="0"/>
        <w:rPr>
          <w:szCs w:val="20"/>
          <w:lang w:val="sv-SE"/>
        </w:rPr>
      </w:pPr>
      <w:r w:rsidRPr="004A13B7">
        <w:rPr>
          <w:szCs w:val="20"/>
          <w:lang w:val="sv-SE"/>
        </w:rPr>
        <w:t xml:space="preserve">Detta Tilläggsprospekt har godkänts av Irlands centralbank (En: </w:t>
      </w:r>
      <w:r w:rsidRPr="004A13B7">
        <w:rPr>
          <w:i/>
          <w:szCs w:val="20"/>
          <w:lang w:val="sv-SE"/>
        </w:rPr>
        <w:t>Central Bank of Ireland</w:t>
      </w:r>
      <w:r w:rsidRPr="004A13B7">
        <w:rPr>
          <w:szCs w:val="20"/>
          <w:lang w:val="sv-SE"/>
        </w:rPr>
        <w:t>) ("</w:t>
      </w:r>
      <w:r w:rsidRPr="004A13B7">
        <w:rPr>
          <w:b/>
          <w:szCs w:val="20"/>
          <w:lang w:val="sv-SE"/>
        </w:rPr>
        <w:t>Centralbanken</w:t>
      </w:r>
      <w:r w:rsidRPr="004A13B7">
        <w:rPr>
          <w:szCs w:val="20"/>
          <w:lang w:val="sv-SE"/>
        </w:rPr>
        <w:t>"), som behörig myndighet enligt Prospektdirektivet. Centralbanken godkänner endast att Tilläggsprospektet uppfyller de krav som ställs enligt irländsk och europeisk lagstiftning i enlighet med Prospektdirektivet.</w:t>
      </w:r>
    </w:p>
    <w:p w:rsidR="00E55762" w:rsidRPr="004A13B7" w:rsidP="00E55762">
      <w:pPr>
        <w:pStyle w:val="BodyText"/>
        <w:widowControl w:val="0"/>
        <w:rPr>
          <w:szCs w:val="20"/>
          <w:lang w:val="sv-SE"/>
        </w:rPr>
      </w:pPr>
      <w:r w:rsidRPr="004A13B7">
        <w:rPr>
          <w:szCs w:val="20"/>
          <w:lang w:val="sv-SE"/>
        </w:rPr>
        <w:t>Emittenterna är ansvariga för informationen i detta Tilläggsprospekt. Såvitt Emittenterna (som har iakttagit all vederbörlig omsorg för att säkerställa att så är fallet) känner till, är informationen i detta Tilläggsprospekt korrekt och utelämnar inte något som sannolikt skulle påverka innebörden av information.</w:t>
      </w:r>
    </w:p>
    <w:p w:rsidR="00E55762" w:rsidRPr="004A13B7" w:rsidP="00E55762">
      <w:pPr>
        <w:pStyle w:val="BodyText"/>
        <w:widowControl w:val="0"/>
        <w:rPr>
          <w:szCs w:val="20"/>
          <w:lang w:val="sv-SE"/>
        </w:rPr>
      </w:pPr>
      <w:r w:rsidRPr="004A13B7">
        <w:rPr>
          <w:szCs w:val="20"/>
          <w:lang w:val="sv-SE"/>
        </w:rPr>
        <w:t>I den utsträckning det föreligger diskrepans mellan (a) information i, eller som är införlivad genom hänvisning i, detta Tilläggsprospekt och (b) information i, eller som är införlivad genom hänvisning i, Grundprospektet, ska informationen i detta Tilläggsprospekt äga företräde.</w:t>
      </w:r>
    </w:p>
    <w:p w:rsidR="00E55762" w:rsidRPr="004A13B7" w:rsidP="00E55762">
      <w:pPr>
        <w:pStyle w:val="BodyText"/>
        <w:widowControl w:val="0"/>
        <w:rPr>
          <w:szCs w:val="20"/>
          <w:lang w:val="sv-SE"/>
        </w:rPr>
      </w:pPr>
      <w:r w:rsidRPr="004A13B7">
        <w:rPr>
          <w:szCs w:val="20"/>
          <w:lang w:val="sv-SE"/>
        </w:rPr>
        <w:t>Förutom såsom informeras om i Tilläggsprospektet, har ingen annan betydelsefull ny omständighet, väsentligt misstag eller felaktighet som relaterar till information i Grundprospektet uppstått eller noterats sedan datumet för p</w:t>
      </w:r>
      <w:r>
        <w:rPr>
          <w:szCs w:val="20"/>
          <w:lang w:val="sv-SE"/>
        </w:rPr>
        <w:t>ublicerandet av Grundprospektet daterat 15 juni 2016 och de tidigare godkända tilläggsprospekten.</w:t>
      </w:r>
    </w:p>
    <w:p w:rsidR="00E55762" w:rsidRPr="004A13B7" w:rsidP="00E55762">
      <w:pPr>
        <w:pStyle w:val="BodyText"/>
        <w:widowControl w:val="0"/>
        <w:rPr>
          <w:szCs w:val="20"/>
          <w:lang w:val="sv-SE"/>
        </w:rPr>
      </w:pPr>
      <w:r w:rsidRPr="004A13B7">
        <w:rPr>
          <w:szCs w:val="20"/>
          <w:lang w:val="sv-SE"/>
        </w:rPr>
        <w:t>En investerare som innan datumet för publicering av detta Tilläggsprospekt har gjort en anmälan om eller på annat sätt samtyckt till köp eller teckning av Lån som omfattas av Programmet har rätt att återkalla sin anmälan eller sitt samtycke till köp eller teckning in</w:t>
      </w:r>
      <w:r>
        <w:rPr>
          <w:szCs w:val="20"/>
          <w:lang w:val="sv-SE"/>
        </w:rPr>
        <w:t>nan slutet av arbetsdagen den [</w:t>
      </w:r>
      <w:r>
        <w:rPr>
          <w:rFonts w:cs="Times New Roman"/>
          <w:szCs w:val="20"/>
          <w:lang w:val="sv-SE"/>
        </w:rPr>
        <w:t>•</w:t>
      </w:r>
      <w:r>
        <w:rPr>
          <w:szCs w:val="20"/>
          <w:lang w:val="sv-SE"/>
        </w:rPr>
        <w:t>] januari 2017</w:t>
      </w:r>
      <w:r w:rsidRPr="004A13B7">
        <w:rPr>
          <w:szCs w:val="20"/>
          <w:lang w:val="sv-SE"/>
        </w:rPr>
        <w:t>, i enlighet med Prospektdirektivet.</w:t>
      </w:r>
    </w:p>
    <w:p w:rsidR="00E55762" w:rsidRPr="0067412A" w:rsidP="00E55762">
      <w:pPr>
        <w:pStyle w:val="BodyText"/>
        <w:rPr>
          <w:lang w:val="sv-SE"/>
        </w:rPr>
      </w:pPr>
      <w:r w:rsidRPr="004A13B7">
        <w:rPr>
          <w:lang w:val="sv-SE"/>
        </w:rPr>
        <w:t>Detta Tilläggsprospekt är författat på engelska. För det fall att det finns någon diskrepans mellan den engelska texten och den svenska texten, är det den engelska texten som är godkänd i enlighet med förfarandet för godkännande under Prospectus (Directive 2003/71/EG) Regulations 2005.</w:t>
      </w:r>
    </w:p>
    <w:p w:rsidR="00E55762" w:rsidRPr="004A13B7" w:rsidP="00E55762">
      <w:pPr>
        <w:pStyle w:val="Title1"/>
        <w:widowControl w:val="0"/>
        <w:rPr>
          <w:rFonts w:hint="eastAsia"/>
          <w:lang w:val="sv-SE"/>
        </w:rPr>
      </w:pPr>
      <w:r w:rsidRPr="004A13B7">
        <w:rPr>
          <w:lang w:val="sv-SE"/>
        </w:rPr>
        <w:t>Ändringar i grundprospektet</w:t>
      </w:r>
    </w:p>
    <w:p w:rsidR="00E55762" w:rsidP="00E55762">
      <w:pPr>
        <w:pStyle w:val="BodyText"/>
        <w:widowControl w:val="0"/>
        <w:rPr>
          <w:szCs w:val="20"/>
          <w:lang w:val="sv-SE"/>
        </w:rPr>
      </w:pPr>
      <w:r w:rsidRPr="004A13B7">
        <w:rPr>
          <w:szCs w:val="20"/>
          <w:lang w:val="sv-SE"/>
        </w:rPr>
        <w:t xml:space="preserve">Med effekt från datumet för detta Tilläggsprospekt, ska information i Grundprospektet ändras och/eller kompletteras såsom beskrivs nedan. </w:t>
      </w:r>
    </w:p>
    <w:p w:rsidR="00E55762" w:rsidRPr="00207214" w:rsidP="00E55762">
      <w:pPr>
        <w:pStyle w:val="BodyText"/>
        <w:rPr>
          <w:b/>
          <w:lang w:val="sv-SE"/>
        </w:rPr>
      </w:pPr>
      <w:r w:rsidRPr="00207214">
        <w:rPr>
          <w:b/>
          <w:lang w:val="sv-SE"/>
        </w:rPr>
        <w:t>FÖRENKLING AV DEN LEGALA STRUKTUREN</w:t>
      </w:r>
    </w:p>
    <w:p w:rsidR="00E55762" w:rsidP="00E55762">
      <w:pPr>
        <w:pStyle w:val="BodyText"/>
        <w:rPr>
          <w:lang w:val="sv-SE"/>
        </w:rPr>
      </w:pPr>
      <w:r>
        <w:rPr>
          <w:lang w:val="sv-SE"/>
        </w:rPr>
        <w:t xml:space="preserve">Såsom meddelades under 2016 fortsätter arbetet med </w:t>
      </w:r>
      <w:r w:rsidRPr="00E60CD8">
        <w:rPr>
          <w:lang w:val="sv-SE"/>
        </w:rPr>
        <w:t xml:space="preserve">att förenkla </w:t>
      </w:r>
      <w:r>
        <w:rPr>
          <w:lang w:val="sv-SE"/>
        </w:rPr>
        <w:t xml:space="preserve">Nordeakoncernens </w:t>
      </w:r>
      <w:r w:rsidRPr="00E60CD8">
        <w:rPr>
          <w:lang w:val="sv-SE"/>
        </w:rPr>
        <w:t xml:space="preserve">legala struktur </w:t>
      </w:r>
      <w:r>
        <w:rPr>
          <w:lang w:val="sv-SE"/>
        </w:rPr>
        <w:t xml:space="preserve"> </w:t>
      </w:r>
      <w:r w:rsidRPr="00E60CD8">
        <w:rPr>
          <w:lang w:val="sv-SE"/>
        </w:rPr>
        <w:t xml:space="preserve">ed målet att omvandla de norska, danska och finska dotterbolagen i form av banker till filialer i NBAB-koncernen genom </w:t>
      </w:r>
      <w:r>
        <w:rPr>
          <w:lang w:val="sv-SE"/>
        </w:rPr>
        <w:t xml:space="preserve">gränsöverskridande </w:t>
      </w:r>
      <w:r w:rsidRPr="00E60CD8">
        <w:rPr>
          <w:lang w:val="sv-SE"/>
        </w:rPr>
        <w:t>fusioner</w:t>
      </w:r>
      <w:r>
        <w:rPr>
          <w:lang w:val="sv-SE"/>
        </w:rPr>
        <w:t xml:space="preserve"> (”</w:t>
      </w:r>
      <w:r>
        <w:rPr>
          <w:b/>
          <w:lang w:val="sv-SE"/>
        </w:rPr>
        <w:t>Fusionerna</w:t>
      </w:r>
      <w:r>
        <w:rPr>
          <w:lang w:val="sv-SE"/>
        </w:rPr>
        <w:t>”).</w:t>
      </w:r>
    </w:p>
    <w:p w:rsidR="00E55762" w:rsidP="00E55762">
      <w:pPr>
        <w:pStyle w:val="BodyText"/>
        <w:rPr>
          <w:lang w:val="sv-SE"/>
        </w:rPr>
      </w:pPr>
      <w:r>
        <w:rPr>
          <w:lang w:val="sv-SE"/>
        </w:rPr>
        <w:t>Fusionerna genomfördes slutligen och blev effektiva den 2 januari 2017 under e</w:t>
      </w:r>
      <w:r w:rsidRPr="00525D5E">
        <w:rPr>
          <w:lang w:val="sv-SE"/>
        </w:rPr>
        <w:t>uropaparlamentets och rådets direktiv 2005/56/EG av den 26 oktober 2005 om gränsöverskridande fusioner av bolag med begränsat ansvar</w:t>
      </w:r>
      <w:r>
        <w:rPr>
          <w:lang w:val="sv-SE"/>
        </w:rPr>
        <w:t xml:space="preserve"> och Nordea Bank Danmark A/S, Nordea Bank Norge ASA och </w:t>
      </w:r>
      <w:r w:rsidRPr="008106DC">
        <w:rPr>
          <w:lang w:val="sv-SE"/>
        </w:rPr>
        <w:t>Nordea Bank Finland Plc ("NBF"</w:t>
      </w:r>
      <w:r>
        <w:rPr>
          <w:lang w:val="sv-SE"/>
        </w:rPr>
        <w:t>) blev filialer till Emittenten. Samtidigt överläts följaktligen alla NBF:s tillgångar och skulder till NBAB genom verkan av lag och NBF upphörde att vara en emittent under Programmet. Nordea Bank Danmark A/S, Nordea Bank Norge ASA och NBF kommer att fortsätta att bedriva verksamhet som lokala filialer till NBAB</w:t>
      </w:r>
      <w:r w:rsidRPr="00E60CD8">
        <w:rPr>
          <w:lang w:val="sv-SE"/>
        </w:rPr>
        <w:t>.</w:t>
      </w:r>
    </w:p>
    <w:p w:rsidR="00E55762" w:rsidP="00E55762">
      <w:pPr>
        <w:pStyle w:val="BodyText"/>
        <w:rPr>
          <w:lang w:val="sv-SE"/>
        </w:rPr>
      </w:pPr>
      <w:r>
        <w:rPr>
          <w:lang w:val="sv-SE"/>
        </w:rPr>
        <w:t>Nedanstående tabell utvisar Nordeakoncernens övergripande legala struktur, inklusive viktigare dotterbolag, såsom den ser ut den 2 januari 2017:</w:t>
      </w:r>
    </w:p>
    <w:p w:rsidR="00E55762" w:rsidP="00E55762">
      <w:pPr>
        <w:pStyle w:val="BodyText"/>
        <w:rPr>
          <w:lang w:val="sv-SE"/>
        </w:rPr>
      </w:pPr>
      <w:bookmarkStart w:id="0" w:name="_GoBack"/>
      <w:r>
        <w:rPr>
          <w:noProof/>
          <w:lang w:eastAsia="en-GB"/>
        </w:rPr>
        <w:drawing>
          <wp:inline distT="0" distB="0" distL="0" distR="0">
            <wp:extent cx="5400040" cy="301180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5400040" cy="3011805"/>
                    </a:xfrm>
                    <a:prstGeom prst="rect">
                      <a:avLst/>
                    </a:prstGeom>
                  </pic:spPr>
                </pic:pic>
              </a:graphicData>
            </a:graphic>
          </wp:inline>
        </w:drawing>
      </w:r>
      <w:bookmarkEnd w:id="0"/>
    </w:p>
    <w:p w:rsidR="00E55762" w:rsidP="00E55762">
      <w:pPr>
        <w:pStyle w:val="Title7"/>
        <w:rPr>
          <w:b/>
          <w:i w:val="0"/>
          <w:lang w:val="sv-SE"/>
        </w:rPr>
      </w:pPr>
    </w:p>
    <w:p w:rsidR="00E55762" w:rsidRPr="00D0462E" w:rsidP="00E55762">
      <w:pPr>
        <w:pStyle w:val="Title7"/>
        <w:rPr>
          <w:b/>
          <w:i w:val="0"/>
          <w:lang w:val="sv-SE"/>
        </w:rPr>
      </w:pPr>
      <w:r w:rsidRPr="00D0462E">
        <w:rPr>
          <w:b/>
          <w:i w:val="0"/>
          <w:lang w:val="sv-SE"/>
        </w:rPr>
        <w:t>UPPDATERING AV PROGRAMMETS SAMMANFATTNING</w:t>
      </w:r>
    </w:p>
    <w:p w:rsidR="00E55762" w:rsidRPr="008738E4" w:rsidP="00E55762">
      <w:pPr>
        <w:pStyle w:val="BodyText"/>
        <w:rPr>
          <w:lang w:val="sv-SE"/>
        </w:rPr>
      </w:pPr>
      <w:r w:rsidRPr="008738E4">
        <w:rPr>
          <w:lang w:val="sv-SE"/>
        </w:rPr>
        <w:t>Den engelskalydande och svensklydande Sammanfattningen av Programmet i Grundprospektet finns uppdaterat i Appendix 1 till detta Tilläggsprospekt.</w:t>
      </w:r>
    </w:p>
    <w:p w:rsidR="00E55762" w:rsidP="00E55762">
      <w:pPr>
        <w:pStyle w:val="Title7"/>
        <w:rPr>
          <w:b/>
          <w:i w:val="0"/>
          <w:lang w:val="sv-SE"/>
        </w:rPr>
      </w:pPr>
      <w:r w:rsidRPr="00D0462E">
        <w:rPr>
          <w:b/>
          <w:i w:val="0"/>
          <w:lang w:val="sv-SE"/>
        </w:rPr>
        <w:t xml:space="preserve">UPPDATERING AV </w:t>
      </w:r>
      <w:r>
        <w:rPr>
          <w:b/>
          <w:i w:val="0"/>
          <w:lang w:val="sv-SE"/>
        </w:rPr>
        <w:t xml:space="preserve">SLUTLIGA VILLKOR </w:t>
      </w:r>
    </w:p>
    <w:p w:rsidR="00E55762" w:rsidRPr="00A61366" w:rsidP="00E55762">
      <w:pPr>
        <w:pStyle w:val="BodyText"/>
        <w:rPr>
          <w:lang w:val="sv-SE" w:eastAsia="zh-CN" w:bidi="he-IL"/>
        </w:rPr>
      </w:pPr>
      <w:r>
        <w:rPr>
          <w:lang w:val="sv-SE" w:eastAsia="zh-CN" w:bidi="he-IL"/>
        </w:rPr>
        <w:t>Slutliga Villkor i Grundprospektet ska uppdateras så att samtliga hänvisningartill ”Nordea Bank Finland Plc” tas bort.</w:t>
      </w:r>
    </w:p>
    <w:p w:rsidR="00E55762" w:rsidRPr="00D0462E" w:rsidP="00E55762">
      <w:pPr>
        <w:pStyle w:val="Title7"/>
        <w:rPr>
          <w:b/>
          <w:i w:val="0"/>
          <w:lang w:val="sv-SE"/>
        </w:rPr>
      </w:pPr>
      <w:r>
        <w:rPr>
          <w:b/>
          <w:i w:val="0"/>
          <w:lang w:val="sv-SE"/>
        </w:rPr>
        <w:t>ÄNDRINGAR I K</w:t>
      </w:r>
      <w:r w:rsidRPr="00D0462E">
        <w:rPr>
          <w:b/>
          <w:i w:val="0"/>
          <w:lang w:val="sv-SE"/>
        </w:rPr>
        <w:t>ONCERNENS LEDNINGSGRUPP</w:t>
      </w:r>
    </w:p>
    <w:p w:rsidR="00E55762" w:rsidRPr="003364C9" w:rsidP="00E55762">
      <w:pPr>
        <w:pStyle w:val="BodyText"/>
        <w:rPr>
          <w:lang w:val="sv-SE"/>
        </w:rPr>
      </w:pPr>
      <w:r w:rsidRPr="003364C9">
        <w:rPr>
          <w:lang w:val="sv-SE"/>
        </w:rPr>
        <w:t xml:space="preserve">Styckena </w:t>
      </w:r>
      <w:r>
        <w:rPr>
          <w:lang w:val="sv-SE"/>
        </w:rPr>
        <w:t>på sidan 280-282</w:t>
      </w:r>
      <w:r w:rsidRPr="003364C9">
        <w:rPr>
          <w:lang w:val="sv-SE"/>
        </w:rPr>
        <w:t xml:space="preserve"> under rubriken </w:t>
      </w:r>
      <w:r>
        <w:rPr>
          <w:szCs w:val="20"/>
          <w:lang w:val="sv-SE"/>
        </w:rPr>
        <w:t>"</w:t>
      </w:r>
      <w:r w:rsidRPr="003364C9">
        <w:rPr>
          <w:i/>
          <w:lang w:val="sv-SE"/>
        </w:rPr>
        <w:t>Koncernledning</w:t>
      </w:r>
      <w:r>
        <w:rPr>
          <w:szCs w:val="20"/>
          <w:lang w:val="sv-SE"/>
        </w:rPr>
        <w:t>"</w:t>
      </w:r>
      <w:r w:rsidRPr="003364C9">
        <w:rPr>
          <w:lang w:val="sv-SE"/>
        </w:rPr>
        <w:t xml:space="preserve"> under avsnittet </w:t>
      </w:r>
      <w:r>
        <w:rPr>
          <w:szCs w:val="20"/>
          <w:lang w:val="sv-SE"/>
        </w:rPr>
        <w:t>"</w:t>
      </w:r>
      <w:r w:rsidRPr="003364C9">
        <w:rPr>
          <w:i/>
          <w:lang w:val="sv-SE"/>
        </w:rPr>
        <w:t>Nordea Bank AB (publ)</w:t>
      </w:r>
      <w:r w:rsidRPr="0006406D">
        <w:rPr>
          <w:szCs w:val="20"/>
          <w:lang w:val="sv-SE"/>
        </w:rPr>
        <w:t xml:space="preserve"> </w:t>
      </w:r>
      <w:r>
        <w:rPr>
          <w:szCs w:val="20"/>
          <w:lang w:val="sv-SE"/>
        </w:rPr>
        <w:t>"</w:t>
      </w:r>
      <w:r w:rsidRPr="003364C9">
        <w:rPr>
          <w:lang w:val="sv-SE"/>
        </w:rPr>
        <w:t xml:space="preserve"> i Grundprospektet är raderat och ersätts med följande:</w:t>
      </w:r>
    </w:p>
    <w:p w:rsidR="00E55762" w:rsidRPr="003364C9" w:rsidP="00E55762">
      <w:pPr>
        <w:pStyle w:val="BodyText"/>
        <w:rPr>
          <w:lang w:val="sv-SE"/>
        </w:rPr>
      </w:pPr>
      <w:r>
        <w:rPr>
          <w:lang w:val="sv-SE"/>
        </w:rPr>
        <w:t>"</w:t>
      </w:r>
      <w:r w:rsidRPr="003364C9">
        <w:rPr>
          <w:lang w:val="sv-SE"/>
        </w:rPr>
        <w:t xml:space="preserve">Koncernledningen består nu av </w:t>
      </w:r>
      <w:r>
        <w:rPr>
          <w:lang w:val="sv-SE"/>
        </w:rPr>
        <w:t xml:space="preserve">tio </w:t>
      </w:r>
      <w:r w:rsidRPr="003364C9">
        <w:rPr>
          <w:lang w:val="sv-SE"/>
        </w:rPr>
        <w:t>medlemmar, inkluderat VD. Ordföranden och VD är utsedda av styrelsen och tillser den dagliga förvaltningen av Nordea-koncernen och Nordea-koncernens koncernvida affärer i enlighet med tillämpliga lagar och regler, inklusive svensk kod för bolagsstyrning</w:t>
      </w:r>
      <w:r>
        <w:rPr>
          <w:lang w:val="sv-SE"/>
        </w:rPr>
        <w:t xml:space="preserve"> (”</w:t>
      </w:r>
      <w:r>
        <w:rPr>
          <w:b/>
          <w:lang w:val="sv-SE"/>
        </w:rPr>
        <w:t>Koden</w:t>
      </w:r>
      <w:r>
        <w:rPr>
          <w:lang w:val="sv-SE"/>
        </w:rPr>
        <w:t>”)</w:t>
      </w:r>
      <w:r w:rsidRPr="003364C9">
        <w:rPr>
          <w:lang w:val="sv-SE"/>
        </w:rPr>
        <w:t xml:space="preserve">, såväl som instruktioner från styrelsen. Instruktionerna från styrelsen reglerar ansvarsfördelningen och interaktionen mellan VD och styrelsen. VD och Styrelseordförande har ett nära samarbete, exempelvis gällande planeringen av styrelsemöten. </w:t>
      </w:r>
    </w:p>
    <w:p w:rsidR="00E55762" w:rsidP="00E55762">
      <w:pPr>
        <w:pStyle w:val="BodyText"/>
        <w:rPr>
          <w:lang w:val="sv-SE"/>
        </w:rPr>
      </w:pPr>
      <w:r w:rsidRPr="003364C9">
        <w:rPr>
          <w:lang w:val="sv-SE"/>
        </w:rPr>
        <w:t xml:space="preserve">Nedan tabell visar medlemmarna i Koncernledningen, hans eller hennes födelseår, året då han eller hon invaldes till Koncernledningen och hans eller hennes nuvarande position. </w:t>
      </w:r>
    </w:p>
    <w:tbl>
      <w:tblPr>
        <w:tblStyle w:val="Adresstabell1"/>
        <w:tblW w:w="5000" w:type="pct"/>
        <w:tblLook w:val="04A0"/>
      </w:tblPr>
      <w:tblGrid>
        <w:gridCol w:w="1727"/>
        <w:gridCol w:w="1428"/>
        <w:gridCol w:w="1479"/>
        <w:gridCol w:w="4086"/>
      </w:tblGrid>
      <w:tr w:rsidTr="003722D9">
        <w:tblPrEx>
          <w:tblW w:w="5000" w:type="pct"/>
          <w:tblLook w:val="04A0"/>
        </w:tblPrEx>
        <w:tc>
          <w:tcPr>
            <w:tcW w:w="990" w:type="pct"/>
            <w:vAlign w:val="bottom"/>
          </w:tcPr>
          <w:p w:rsidR="00E55762" w:rsidRPr="00672525" w:rsidP="003722D9">
            <w:pPr>
              <w:pStyle w:val="Tableheaderrow"/>
              <w:pBdr>
                <w:bottom w:val="single" w:sz="4" w:space="1" w:color="auto"/>
              </w:pBdr>
              <w:rPr>
                <w:lang w:val="en-GB"/>
              </w:rPr>
            </w:pPr>
            <w:r w:rsidRPr="00672525">
              <w:rPr>
                <w:lang w:val="en-GB"/>
              </w:rPr>
              <w:t>Namn</w:t>
            </w:r>
          </w:p>
        </w:tc>
        <w:tc>
          <w:tcPr>
            <w:tcW w:w="819" w:type="pct"/>
            <w:vAlign w:val="bottom"/>
          </w:tcPr>
          <w:p w:rsidR="00E55762" w:rsidRPr="00672525" w:rsidP="003722D9">
            <w:pPr>
              <w:pStyle w:val="Tableheaderrow"/>
              <w:pBdr>
                <w:bottom w:val="single" w:sz="4" w:space="1" w:color="auto"/>
              </w:pBdr>
              <w:rPr>
                <w:lang w:val="en-GB"/>
              </w:rPr>
            </w:pPr>
            <w:r w:rsidRPr="00672525">
              <w:rPr>
                <w:lang w:val="en-GB"/>
              </w:rPr>
              <w:t>Födelseår</w:t>
            </w:r>
          </w:p>
        </w:tc>
        <w:tc>
          <w:tcPr>
            <w:tcW w:w="848" w:type="pct"/>
            <w:vAlign w:val="bottom"/>
          </w:tcPr>
          <w:p w:rsidR="00E55762" w:rsidRPr="00672525" w:rsidP="003722D9">
            <w:pPr>
              <w:pStyle w:val="Tableheaderrow"/>
              <w:pBdr>
                <w:bottom w:val="single" w:sz="4" w:space="1" w:color="auto"/>
              </w:pBdr>
              <w:rPr>
                <w:lang w:val="en-GB"/>
              </w:rPr>
            </w:pPr>
            <w:r w:rsidRPr="00672525">
              <w:rPr>
                <w:lang w:val="en-GB"/>
              </w:rPr>
              <w:t>Medlem i Koncernledningen sedan</w:t>
            </w:r>
          </w:p>
        </w:tc>
        <w:tc>
          <w:tcPr>
            <w:tcW w:w="2343" w:type="pct"/>
            <w:vAlign w:val="bottom"/>
          </w:tcPr>
          <w:p w:rsidR="00E55762" w:rsidRPr="00672525" w:rsidP="003722D9">
            <w:pPr>
              <w:pStyle w:val="Tableheaderrow"/>
              <w:pBdr>
                <w:bottom w:val="single" w:sz="4" w:space="1" w:color="auto"/>
              </w:pBdr>
              <w:rPr>
                <w:lang w:val="en-GB"/>
              </w:rPr>
            </w:pPr>
            <w:r w:rsidRPr="00672525">
              <w:rPr>
                <w:lang w:val="en-GB"/>
              </w:rPr>
              <w:t>Position</w:t>
            </w:r>
          </w:p>
        </w:tc>
      </w:tr>
      <w:tr w:rsidTr="003722D9">
        <w:tblPrEx>
          <w:tblW w:w="5000" w:type="pct"/>
          <w:tblLook w:val="04A0"/>
        </w:tblPrEx>
        <w:tc>
          <w:tcPr>
            <w:tcW w:w="990" w:type="pct"/>
            <w:vAlign w:val="bottom"/>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Casper von Koskull</w:t>
            </w:r>
          </w:p>
        </w:tc>
        <w:tc>
          <w:tcPr>
            <w:tcW w:w="819" w:type="pct"/>
            <w:vAlign w:val="center"/>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1960</w:t>
            </w:r>
          </w:p>
        </w:tc>
        <w:tc>
          <w:tcPr>
            <w:tcW w:w="848" w:type="pct"/>
            <w:vAlign w:val="center"/>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2010</w:t>
            </w:r>
          </w:p>
        </w:tc>
        <w:tc>
          <w:tcPr>
            <w:tcW w:w="2343" w:type="pct"/>
            <w:vAlign w:val="center"/>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Ordförande och Koncern-VD</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Torsten Hagen Jørgensen</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1965</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2011</w:t>
            </w:r>
          </w:p>
        </w:tc>
        <w:tc>
          <w:tcPr>
            <w:tcW w:w="2343" w:type="pct"/>
            <w:vAlign w:val="bottom"/>
          </w:tcPr>
          <w:p w:rsidR="00E55762" w:rsidRPr="004C7968" w:rsidP="003722D9">
            <w:pPr>
              <w:pStyle w:val="TableMiddleRows"/>
              <w:keepNext w:val="0"/>
              <w:tabs>
                <w:tab w:val="clear" w:pos="4140"/>
                <w:tab w:val="right" w:leader="dot" w:pos="6493"/>
              </w:tabs>
              <w:spacing w:after="120"/>
              <w:jc w:val="left"/>
              <w:rPr>
                <w:iCs w:val="0"/>
                <w:szCs w:val="16"/>
                <w:lang w:val="en-GB"/>
              </w:rPr>
            </w:pPr>
            <w:r w:rsidRPr="004C7968">
              <w:rPr>
                <w:iCs w:val="0"/>
                <w:szCs w:val="16"/>
                <w:lang w:val="en-GB"/>
              </w:rPr>
              <w:t>Vice Koncern-VD och Group Chief Operating Officer, Executive Vice President och Chef för Group Corporate Centre</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Erik Ekman</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1969</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2015</w:t>
            </w:r>
          </w:p>
        </w:tc>
        <w:tc>
          <w:tcPr>
            <w:tcW w:w="2343"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 xml:space="preserve">Executive Vice President, </w:t>
            </w:r>
            <w:r w:rsidRPr="0067412A">
              <w:rPr>
                <w:iCs w:val="0"/>
                <w:szCs w:val="16"/>
                <w:lang w:val="en-GB"/>
              </w:rPr>
              <w:t>Chef för Commercial and Business Banking</w:t>
            </w:r>
            <w:r>
              <w:rPr>
                <w:iCs w:val="0"/>
                <w:szCs w:val="16"/>
                <w:lang w:val="en-GB"/>
              </w:rPr>
              <w:t xml:space="preserve"> och </w:t>
            </w:r>
            <w:r w:rsidRPr="00672525">
              <w:rPr>
                <w:iCs w:val="0"/>
                <w:szCs w:val="16"/>
                <w:lang w:val="en-GB"/>
              </w:rPr>
              <w:t>Chef för Wholesale Banking and Country Senior Executive i Sverige</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Heikki Ilkka</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1970</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E55762" w:rsidRPr="004C7968" w:rsidP="003722D9">
            <w:pPr>
              <w:pStyle w:val="TableMiddleRows"/>
              <w:keepNext w:val="0"/>
              <w:tabs>
                <w:tab w:val="clear" w:pos="4140"/>
                <w:tab w:val="right" w:leader="dot" w:pos="6493"/>
              </w:tabs>
              <w:spacing w:after="120"/>
              <w:jc w:val="left"/>
              <w:rPr>
                <w:iCs w:val="0"/>
                <w:szCs w:val="16"/>
                <w:lang w:val="en-GB"/>
              </w:rPr>
            </w:pPr>
            <w:r w:rsidRPr="004C7968">
              <w:rPr>
                <w:iCs w:val="0"/>
                <w:szCs w:val="16"/>
                <w:lang w:val="en-GB"/>
              </w:rPr>
              <w:t xml:space="preserve">Chef för Group Finance &amp; Business Control och Executive Vice President och </w:t>
            </w:r>
            <w:r>
              <w:rPr>
                <w:iCs w:val="0"/>
                <w:szCs w:val="16"/>
                <w:lang w:val="en-GB"/>
              </w:rPr>
              <w:t>Group</w:t>
            </w:r>
            <w:r w:rsidRPr="004C7968">
              <w:rPr>
                <w:iCs w:val="0"/>
                <w:szCs w:val="16"/>
                <w:lang w:val="en-GB"/>
              </w:rPr>
              <w:t xml:space="preserve"> CFO</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Julie Galbo</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1971</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2017</w:t>
            </w:r>
          </w:p>
        </w:tc>
        <w:tc>
          <w:tcPr>
            <w:tcW w:w="2343"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Group CRO, Chef</w:t>
            </w:r>
            <w:r w:rsidRPr="00672525">
              <w:rPr>
                <w:iCs w:val="0"/>
                <w:szCs w:val="16"/>
                <w:lang w:val="en-GB"/>
              </w:rPr>
              <w:t xml:space="preserve"> of Group Risk Management </w:t>
            </w:r>
            <w:r>
              <w:rPr>
                <w:iCs w:val="0"/>
                <w:szCs w:val="16"/>
                <w:lang w:val="en-GB"/>
              </w:rPr>
              <w:t>and Control och chef för Regulatory Change Management</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Snorre Storset</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1972</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2015</w:t>
            </w:r>
          </w:p>
        </w:tc>
        <w:tc>
          <w:tcPr>
            <w:tcW w:w="2343"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 xml:space="preserve">Executive Vice President, </w:t>
            </w:r>
            <w:r w:rsidRPr="00672525">
              <w:rPr>
                <w:iCs w:val="0"/>
                <w:szCs w:val="16"/>
                <w:lang w:val="en-GB"/>
              </w:rPr>
              <w:t>Chef för Wealth Management och Country Senior Executive i Norge</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Karen Tobiasen</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1965</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E55762" w:rsidRPr="00672525" w:rsidP="003722D9">
            <w:pPr>
              <w:pStyle w:val="TableMiddleRows"/>
              <w:keepNext w:val="0"/>
              <w:tabs>
                <w:tab w:val="clear" w:pos="4140"/>
                <w:tab w:val="right" w:leader="dot" w:pos="6493"/>
              </w:tabs>
              <w:spacing w:after="120"/>
              <w:jc w:val="left"/>
              <w:rPr>
                <w:iCs w:val="0"/>
                <w:szCs w:val="16"/>
                <w:lang w:val="en-GB"/>
              </w:rPr>
            </w:pPr>
            <w:r>
              <w:rPr>
                <w:iCs w:val="0"/>
                <w:szCs w:val="16"/>
                <w:lang w:val="en-GB"/>
              </w:rPr>
              <w:t xml:space="preserve">Chief of HR Officer, </w:t>
            </w:r>
            <w:r w:rsidRPr="00672525">
              <w:rPr>
                <w:iCs w:val="0"/>
                <w:szCs w:val="16"/>
                <w:lang w:val="en-GB"/>
              </w:rPr>
              <w:t>Chef för Group Human Resources</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Topi Manner</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1974</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E55762" w:rsidRPr="00852977" w:rsidP="003722D9">
            <w:pPr>
              <w:pStyle w:val="TableMiddleRows"/>
              <w:keepNext w:val="0"/>
              <w:tabs>
                <w:tab w:val="clear" w:pos="4140"/>
                <w:tab w:val="right" w:leader="dot" w:pos="6493"/>
              </w:tabs>
              <w:spacing w:after="120"/>
              <w:jc w:val="left"/>
              <w:rPr>
                <w:iCs w:val="0"/>
                <w:szCs w:val="16"/>
                <w:lang w:val="en-GB"/>
              </w:rPr>
            </w:pPr>
            <w:r w:rsidRPr="00852977">
              <w:rPr>
                <w:iCs w:val="0"/>
                <w:szCs w:val="16"/>
                <w:lang w:val="en-GB"/>
              </w:rPr>
              <w:t>Executive Vice President, Chef för Personal Banking</w:t>
            </w:r>
          </w:p>
        </w:tc>
      </w:tr>
      <w:tr w:rsidTr="003722D9">
        <w:tblPrEx>
          <w:tblW w:w="5000" w:type="pct"/>
          <w:tblLook w:val="04A0"/>
        </w:tblPrEx>
        <w:tc>
          <w:tcPr>
            <w:tcW w:w="990" w:type="pct"/>
          </w:tcPr>
          <w:p w:rsidR="00E55762" w:rsidRPr="00672525" w:rsidP="003722D9">
            <w:pPr>
              <w:pStyle w:val="TableMiddleRows"/>
              <w:keepNext w:val="0"/>
              <w:tabs>
                <w:tab w:val="clear" w:pos="4140"/>
                <w:tab w:val="right" w:leader="dot" w:pos="6493"/>
              </w:tabs>
              <w:spacing w:after="120"/>
              <w:jc w:val="left"/>
              <w:rPr>
                <w:iCs w:val="0"/>
                <w:szCs w:val="16"/>
              </w:rPr>
            </w:pPr>
            <w:r>
              <w:rPr>
                <w:iCs w:val="0"/>
                <w:szCs w:val="16"/>
              </w:rPr>
              <w:t>Matthew Elderfield</w:t>
            </w:r>
          </w:p>
        </w:tc>
        <w:tc>
          <w:tcPr>
            <w:tcW w:w="819" w:type="pct"/>
          </w:tcPr>
          <w:p w:rsidR="00E55762" w:rsidRPr="00672525" w:rsidP="003722D9">
            <w:pPr>
              <w:pStyle w:val="TableMiddleRows"/>
              <w:keepNext w:val="0"/>
              <w:tabs>
                <w:tab w:val="clear" w:pos="4140"/>
                <w:tab w:val="right" w:leader="dot" w:pos="6493"/>
              </w:tabs>
              <w:spacing w:after="120"/>
              <w:jc w:val="left"/>
              <w:rPr>
                <w:iCs w:val="0"/>
                <w:szCs w:val="16"/>
              </w:rPr>
            </w:pPr>
            <w:r>
              <w:rPr>
                <w:iCs w:val="0"/>
                <w:szCs w:val="16"/>
              </w:rPr>
              <w:t>1966</w:t>
            </w:r>
          </w:p>
        </w:tc>
        <w:tc>
          <w:tcPr>
            <w:tcW w:w="848" w:type="pct"/>
          </w:tcPr>
          <w:p w:rsidR="00E55762" w:rsidRPr="00672525" w:rsidP="003722D9">
            <w:pPr>
              <w:pStyle w:val="TableMiddleRows"/>
              <w:keepNext w:val="0"/>
              <w:tabs>
                <w:tab w:val="clear" w:pos="4140"/>
                <w:tab w:val="right" w:leader="dot" w:pos="6493"/>
              </w:tabs>
              <w:spacing w:after="120"/>
              <w:jc w:val="left"/>
              <w:rPr>
                <w:iCs w:val="0"/>
                <w:szCs w:val="16"/>
              </w:rPr>
            </w:pPr>
            <w:r>
              <w:rPr>
                <w:iCs w:val="0"/>
                <w:szCs w:val="16"/>
              </w:rPr>
              <w:t>2016</w:t>
            </w:r>
          </w:p>
        </w:tc>
        <w:tc>
          <w:tcPr>
            <w:tcW w:w="2343" w:type="pct"/>
          </w:tcPr>
          <w:p w:rsidR="00E55762" w:rsidRPr="000E1219" w:rsidP="003722D9">
            <w:pPr>
              <w:pStyle w:val="TableMiddleRows"/>
              <w:keepNext w:val="0"/>
              <w:tabs>
                <w:tab w:val="clear" w:pos="4140"/>
                <w:tab w:val="right" w:leader="dot" w:pos="6493"/>
              </w:tabs>
              <w:spacing w:after="120"/>
              <w:jc w:val="left"/>
              <w:rPr>
                <w:iCs w:val="0"/>
                <w:szCs w:val="16"/>
                <w:lang w:val="en-GB"/>
              </w:rPr>
            </w:pPr>
            <w:r w:rsidRPr="000E1219">
              <w:rPr>
                <w:iCs w:val="0"/>
                <w:szCs w:val="16"/>
                <w:lang w:val="en-GB"/>
              </w:rPr>
              <w:t xml:space="preserve">Chef </w:t>
            </w:r>
            <w:r>
              <w:rPr>
                <w:iCs w:val="0"/>
                <w:szCs w:val="16"/>
                <w:lang w:val="en-GB"/>
              </w:rPr>
              <w:t>för Group Compliance &amp; Group Ch</w:t>
            </w:r>
            <w:r w:rsidRPr="000E1219">
              <w:rPr>
                <w:iCs w:val="0"/>
                <w:szCs w:val="16"/>
                <w:lang w:val="en-GB"/>
              </w:rPr>
              <w:t>i</w:t>
            </w:r>
            <w:r>
              <w:rPr>
                <w:iCs w:val="0"/>
                <w:szCs w:val="16"/>
                <w:lang w:val="en-GB"/>
              </w:rPr>
              <w:t>ef compliance Officer</w:t>
            </w:r>
          </w:p>
        </w:tc>
      </w:tr>
      <w:tr w:rsidTr="003722D9">
        <w:tblPrEx>
          <w:tblW w:w="5000" w:type="pct"/>
          <w:tblLook w:val="04A0"/>
        </w:tblPrEx>
        <w:tc>
          <w:tcPr>
            <w:tcW w:w="990" w:type="pct"/>
          </w:tcPr>
          <w:p w:rsidR="00E55762" w:rsidRPr="00852977" w:rsidP="003722D9">
            <w:pPr>
              <w:pStyle w:val="TableMiddleRows"/>
              <w:keepNext w:val="0"/>
              <w:tabs>
                <w:tab w:val="clear" w:pos="4140"/>
                <w:tab w:val="right" w:leader="dot" w:pos="6493"/>
              </w:tabs>
              <w:spacing w:after="120"/>
              <w:jc w:val="left"/>
              <w:rPr>
                <w:iCs w:val="0"/>
                <w:szCs w:val="16"/>
                <w:lang w:val="en-GB"/>
              </w:rPr>
            </w:pPr>
            <w:r>
              <w:rPr>
                <w:iCs w:val="0"/>
                <w:szCs w:val="16"/>
                <w:lang w:val="en-GB"/>
              </w:rPr>
              <w:t>Martin Persson</w:t>
            </w:r>
          </w:p>
        </w:tc>
        <w:tc>
          <w:tcPr>
            <w:tcW w:w="819" w:type="pct"/>
          </w:tcPr>
          <w:p w:rsidR="00E55762" w:rsidRPr="00852977" w:rsidP="003722D9">
            <w:pPr>
              <w:pStyle w:val="TableMiddleRows"/>
              <w:keepNext w:val="0"/>
              <w:tabs>
                <w:tab w:val="clear" w:pos="4140"/>
                <w:tab w:val="right" w:leader="dot" w:pos="6493"/>
              </w:tabs>
              <w:spacing w:after="120"/>
              <w:jc w:val="left"/>
              <w:rPr>
                <w:iCs w:val="0"/>
                <w:szCs w:val="16"/>
                <w:lang w:val="en-GB"/>
              </w:rPr>
            </w:pPr>
            <w:r>
              <w:rPr>
                <w:iCs w:val="0"/>
                <w:szCs w:val="16"/>
                <w:lang w:val="en-GB"/>
              </w:rPr>
              <w:t>1975</w:t>
            </w:r>
          </w:p>
        </w:tc>
        <w:tc>
          <w:tcPr>
            <w:tcW w:w="848" w:type="pct"/>
          </w:tcPr>
          <w:p w:rsidR="00E55762" w:rsidRPr="00852977" w:rsidP="003722D9">
            <w:pPr>
              <w:pStyle w:val="TableMiddleRows"/>
              <w:keepNext w:val="0"/>
              <w:tabs>
                <w:tab w:val="clear" w:pos="4140"/>
                <w:tab w:val="right" w:leader="dot" w:pos="6493"/>
              </w:tabs>
              <w:spacing w:after="120"/>
              <w:jc w:val="left"/>
              <w:rPr>
                <w:iCs w:val="0"/>
                <w:szCs w:val="16"/>
                <w:lang w:val="en-GB"/>
              </w:rPr>
            </w:pPr>
            <w:r>
              <w:rPr>
                <w:iCs w:val="0"/>
                <w:szCs w:val="16"/>
                <w:lang w:val="en-GB"/>
              </w:rPr>
              <w:t>2016</w:t>
            </w:r>
          </w:p>
        </w:tc>
        <w:tc>
          <w:tcPr>
            <w:tcW w:w="2343" w:type="pct"/>
          </w:tcPr>
          <w:p w:rsidR="00E55762" w:rsidRPr="00852977" w:rsidP="003722D9">
            <w:pPr>
              <w:pStyle w:val="TableMiddleRows"/>
              <w:keepNext w:val="0"/>
              <w:tabs>
                <w:tab w:val="clear" w:pos="4140"/>
                <w:tab w:val="right" w:leader="dot" w:pos="6493"/>
              </w:tabs>
              <w:spacing w:after="120"/>
              <w:jc w:val="left"/>
              <w:rPr>
                <w:iCs w:val="0"/>
                <w:szCs w:val="16"/>
                <w:lang w:val="en-GB"/>
              </w:rPr>
            </w:pPr>
            <w:r>
              <w:rPr>
                <w:iCs w:val="0"/>
                <w:szCs w:val="16"/>
                <w:lang w:val="en-GB"/>
              </w:rPr>
              <w:t>Chef för Wholesale Banking</w:t>
            </w:r>
          </w:p>
        </w:tc>
      </w:tr>
    </w:tbl>
    <w:p w:rsidR="00E55762" w:rsidRPr="000E1219" w:rsidP="00E55762">
      <w:pPr>
        <w:pStyle w:val="BodyText"/>
      </w:pPr>
    </w:p>
    <w:p w:rsidR="00E55762" w:rsidRPr="008738E4" w:rsidP="00E55762">
      <w:pPr>
        <w:pStyle w:val="BodyText"/>
        <w:rPr>
          <w:sz w:val="22"/>
          <w:lang w:val="sv-SE" w:eastAsia="sv-SE"/>
        </w:rPr>
      </w:pPr>
      <w:r w:rsidRPr="008738E4">
        <w:rPr>
          <w:lang w:val="sv-SE"/>
        </w:rPr>
        <w:t xml:space="preserve">Medlemmarna i Koncernledningen har följande kontorsadress: c/o Nordea Bank AB (publ), Smålandsgatan 17, SE-105 71 Stockholm, Sweden. </w:t>
      </w:r>
    </w:p>
    <w:p w:rsidR="00E55762" w:rsidRPr="008738E4" w:rsidP="00E55762">
      <w:pPr>
        <w:pStyle w:val="BodyText"/>
        <w:rPr>
          <w:i/>
          <w:lang w:val="sv-SE"/>
        </w:rPr>
      </w:pPr>
      <w:r w:rsidRPr="008738E4">
        <w:rPr>
          <w:lang w:val="sv-SE"/>
        </w:rPr>
        <w:t xml:space="preserve">Det föreligger inte några potentiella intressekonflikter mellan en koncernledningsmedlems förpliktelser till NBAB och medlemmens privata intressen eller förpliktelser. </w:t>
      </w:r>
    </w:p>
    <w:p w:rsidR="00E55762" w:rsidRPr="008738E4" w:rsidP="00E55762">
      <w:pPr>
        <w:pStyle w:val="BodyText"/>
        <w:rPr>
          <w:lang w:val="sv-SE"/>
        </w:rPr>
      </w:pPr>
      <w:r w:rsidRPr="008738E4">
        <w:rPr>
          <w:i/>
          <w:lang w:val="sv-SE"/>
        </w:rPr>
        <w:t xml:space="preserve">Casper von Koskull </w:t>
      </w:r>
      <w:r>
        <w:rPr>
          <w:lang w:val="sv-SE"/>
        </w:rPr>
        <w:t>har varit Ordförande</w:t>
      </w:r>
      <w:r w:rsidRPr="008738E4">
        <w:rPr>
          <w:lang w:val="sv-SE"/>
        </w:rPr>
        <w:t xml:space="preserve"> och Koncern-VD för Nordea sedan 2015 och har varit en medlem av Koncernledningen sedan 2010. von Koskull anslöt till Nordea-koncernen år 2010 och blev chef för Corporate Merchant Banking &amp; Capital Markets från år 2010 till 2011. Per datumet för detta Grundprospekt är von Koskull styrelsemedlem i the Europe</w:t>
      </w:r>
      <w:r>
        <w:rPr>
          <w:lang w:val="sv-SE"/>
        </w:rPr>
        <w:t>an Business Leader’s convention och styrelseledamot för Svenska Bankföreningen.</w:t>
      </w:r>
      <w:r w:rsidRPr="008738E4">
        <w:rPr>
          <w:lang w:val="sv-SE"/>
        </w:rPr>
        <w:t xml:space="preserve"> </w:t>
      </w:r>
    </w:p>
    <w:p w:rsidR="00E55762" w:rsidRPr="008738E4" w:rsidP="00E55762">
      <w:pPr>
        <w:pStyle w:val="BodyText"/>
        <w:rPr>
          <w:lang w:val="sv-SE"/>
        </w:rPr>
      </w:pPr>
      <w:r w:rsidRPr="008738E4">
        <w:rPr>
          <w:i/>
          <w:lang w:val="sv-SE"/>
        </w:rPr>
        <w:t xml:space="preserve">Torsten Hagen Jørgensen </w:t>
      </w:r>
      <w:r w:rsidRPr="008738E4">
        <w:rPr>
          <w:lang w:val="sv-SE"/>
        </w:rPr>
        <w:t>har varit Vice VD och Koncernens operativa chef sedan 2015 och har varit Tillförordnad Vice Ordföranden och chef för Group Corporate Centre och Koncernens CFO sedan 2013. Han har varit medlem i Koncernledningen sedan år 2011. Jørgensen anslöt till Nordea-koncernen år 2005 och har haft flertalet ledande chefspositioner inom Nordea-koncernen.</w:t>
      </w:r>
    </w:p>
    <w:p w:rsidR="00E55762" w:rsidRPr="00A27967" w:rsidP="00E55762">
      <w:pPr>
        <w:spacing w:line="276" w:lineRule="auto"/>
        <w:jc w:val="left"/>
        <w:rPr>
          <w:lang w:val="sv-SE"/>
        </w:rPr>
      </w:pPr>
      <w:r w:rsidRPr="00A27967">
        <w:rPr>
          <w:i/>
          <w:lang w:val="sv-SE"/>
        </w:rPr>
        <w:t>Erik Ekman</w:t>
      </w:r>
      <w:r w:rsidRPr="00A27967">
        <w:rPr>
          <w:lang w:val="sv-SE"/>
        </w:rPr>
        <w:t xml:space="preserve"> har varit </w:t>
      </w:r>
      <w:r>
        <w:rPr>
          <w:lang w:val="sv-SE"/>
        </w:rPr>
        <w:t>Executive Vice President</w:t>
      </w:r>
      <w:r w:rsidRPr="00A27967">
        <w:rPr>
          <w:lang w:val="sv-SE"/>
        </w:rPr>
        <w:t>, chef för Wholesale Banking och medlem av</w:t>
      </w:r>
      <w:r w:rsidRPr="0096418D">
        <w:rPr>
          <w:lang w:val="sv-SE"/>
        </w:rPr>
        <w:t xml:space="preserve"> Koncernledningen sedan år 2015, </w:t>
      </w:r>
      <w:r w:rsidRPr="00A27967">
        <w:rPr>
          <w:lang w:val="sv-SE"/>
        </w:rPr>
        <w:t>en Country Senior Executive i Sverige sedan den 1 juli 2016</w:t>
      </w:r>
      <w:r w:rsidRPr="0096418D">
        <w:rPr>
          <w:lang w:val="sv-SE"/>
        </w:rPr>
        <w:t xml:space="preserve"> och chef</w:t>
      </w:r>
      <w:r w:rsidRPr="00A27967">
        <w:rPr>
          <w:lang w:val="sv-SE"/>
        </w:rPr>
        <w:t xml:space="preserve"> för C</w:t>
      </w:r>
      <w:r w:rsidRPr="0096418D">
        <w:rPr>
          <w:lang w:val="sv-SE"/>
        </w:rPr>
        <w:t>ommercial and Business Banking sedan den 1 november 2016. Ekman</w:t>
      </w:r>
      <w:r w:rsidRPr="00A27967">
        <w:rPr>
          <w:lang w:val="sv-SE"/>
        </w:rPr>
        <w:t xml:space="preserve"> anslöt till Nordea-koncernen år 200</w:t>
      </w:r>
      <w:r w:rsidRPr="0096418D">
        <w:rPr>
          <w:lang w:val="sv-SE"/>
        </w:rPr>
        <w:t>8</w:t>
      </w:r>
      <w:r w:rsidRPr="00A27967">
        <w:rPr>
          <w:lang w:val="sv-SE"/>
        </w:rPr>
        <w:t xml:space="preserve"> och har haft flertalet ledande chefpositioner inom Nordea-koncernen. </w:t>
      </w:r>
    </w:p>
    <w:p w:rsidR="00E55762" w:rsidRPr="008738E4" w:rsidP="00E55762">
      <w:pPr>
        <w:pStyle w:val="BodyText"/>
        <w:rPr>
          <w:lang w:val="sv-SE"/>
        </w:rPr>
      </w:pPr>
      <w:r w:rsidRPr="008738E4">
        <w:rPr>
          <w:i/>
          <w:lang w:val="sv-SE"/>
        </w:rPr>
        <w:t xml:space="preserve">Heikki Ikka </w:t>
      </w:r>
      <w:r w:rsidRPr="008738E4">
        <w:rPr>
          <w:lang w:val="sv-SE"/>
        </w:rPr>
        <w:t xml:space="preserve">har varit </w:t>
      </w:r>
      <w:r>
        <w:rPr>
          <w:lang w:val="sv-SE"/>
        </w:rPr>
        <w:t>Executive Vice President</w:t>
      </w:r>
      <w:r w:rsidRPr="008738E4">
        <w:rPr>
          <w:lang w:val="sv-SE"/>
        </w:rPr>
        <w:t xml:space="preserve">, </w:t>
      </w:r>
      <w:r>
        <w:rPr>
          <w:lang w:val="sv-SE"/>
        </w:rPr>
        <w:t xml:space="preserve">Group </w:t>
      </w:r>
      <w:r w:rsidRPr="008738E4">
        <w:rPr>
          <w:lang w:val="sv-SE"/>
        </w:rPr>
        <w:t xml:space="preserve">CFO och chef för Group Finance and Business Control och medlem i Koncernledningen sedan år 2016. Ikka anslöt till Nordea år 2015 som chef för Group Finance efter en lång karriär på Ernst &amp; Young i Finland, senast som senior partner. </w:t>
      </w:r>
    </w:p>
    <w:p w:rsidR="00E55762" w:rsidRPr="008738E4" w:rsidP="00E55762">
      <w:pPr>
        <w:pStyle w:val="BodyText"/>
        <w:rPr>
          <w:lang w:val="sv-SE"/>
        </w:rPr>
      </w:pPr>
      <w:r w:rsidRPr="008738E4">
        <w:rPr>
          <w:i/>
          <w:lang w:val="sv-SE"/>
        </w:rPr>
        <w:t xml:space="preserve">Ari Kaperi </w:t>
      </w:r>
      <w:r w:rsidRPr="008738E4">
        <w:rPr>
          <w:lang w:val="sv-SE"/>
        </w:rPr>
        <w:t xml:space="preserve">har varit medlem i Koncernledningen sedan år 2008. Han blev CRO och chef för Group Risk Management, såväl som Country Senior Executive i Finland år 2010. Kaperi anslöt till Nordea-koncernen år 2001 och har haft flertalet ledande chefspositioner inom Nordea-koncernen. </w:t>
      </w:r>
    </w:p>
    <w:p w:rsidR="00E55762" w:rsidRPr="00852977" w:rsidP="00E55762">
      <w:pPr>
        <w:pStyle w:val="BodyText"/>
        <w:rPr>
          <w:lang w:val="sv-SE"/>
        </w:rPr>
      </w:pPr>
      <w:r>
        <w:rPr>
          <w:i/>
          <w:lang w:val="sv-SE"/>
        </w:rPr>
        <w:t>Julie Galbo</w:t>
      </w:r>
      <w:r>
        <w:rPr>
          <w:lang w:val="sv-SE"/>
        </w:rPr>
        <w:t xml:space="preserve"> har varit chef för Group Risk Management and Control och en medlem i Koncernledningen sedan 2017. Galbo anslöt till Nordea-koncernen år 2014 och haft flertalet ledande chefspositioner inom Nordea-koncernen.</w:t>
      </w:r>
    </w:p>
    <w:p w:rsidR="00E55762" w:rsidRPr="008738E4" w:rsidP="00E55762">
      <w:pPr>
        <w:pStyle w:val="BodyText"/>
        <w:rPr>
          <w:lang w:val="sv-SE"/>
        </w:rPr>
      </w:pPr>
      <w:r w:rsidRPr="008738E4">
        <w:rPr>
          <w:i/>
          <w:lang w:val="sv-SE"/>
        </w:rPr>
        <w:t xml:space="preserve">Snorre Storset </w:t>
      </w:r>
      <w:r>
        <w:rPr>
          <w:lang w:val="sv-SE"/>
        </w:rPr>
        <w:t xml:space="preserve">har varit Executive Vice President, </w:t>
      </w:r>
      <w:r w:rsidRPr="008738E4">
        <w:rPr>
          <w:lang w:val="sv-SE"/>
        </w:rPr>
        <w:t xml:space="preserve">chef för Wealth Management och Country Senior Executive i Norge sedan år 2016 och medlem i Koncernledningen sedan år 2015. Storset har haft flertalet ledande chefpositioner sedan han anslöt till Nordea-koncernen år 2011, senast som Deputy Head of Wealth Management och Head of Private Banking från år 2015 till 2016. </w:t>
      </w:r>
    </w:p>
    <w:p w:rsidR="00E55762" w:rsidRPr="008738E4" w:rsidP="00E55762">
      <w:pPr>
        <w:pStyle w:val="BodyText"/>
        <w:rPr>
          <w:rFonts w:eastAsiaTheme="minorEastAsia"/>
          <w:szCs w:val="20"/>
          <w:lang w:val="sv-SE"/>
        </w:rPr>
      </w:pPr>
      <w:r w:rsidRPr="008738E4">
        <w:rPr>
          <w:rFonts w:eastAsiaTheme="minorEastAsia"/>
          <w:i/>
          <w:iCs/>
          <w:szCs w:val="20"/>
          <w:lang w:val="sv-SE"/>
        </w:rPr>
        <w:t xml:space="preserve">Karen Tobiasen </w:t>
      </w:r>
      <w:r w:rsidRPr="008738E4">
        <w:rPr>
          <w:rFonts w:eastAsiaTheme="minorEastAsia"/>
          <w:iCs/>
          <w:szCs w:val="20"/>
          <w:lang w:val="sv-SE"/>
        </w:rPr>
        <w:t xml:space="preserve">har varit </w:t>
      </w:r>
      <w:r w:rsidRPr="008738E4">
        <w:rPr>
          <w:rFonts w:eastAsiaTheme="minorEastAsia"/>
          <w:szCs w:val="20"/>
          <w:lang w:val="sv-SE"/>
        </w:rPr>
        <w:t>chef för Group Human Resources och medlem i Konce</w:t>
      </w:r>
      <w:r>
        <w:rPr>
          <w:rFonts w:eastAsiaTheme="minorEastAsia"/>
          <w:szCs w:val="20"/>
          <w:lang w:val="sv-SE"/>
        </w:rPr>
        <w:t xml:space="preserve">rnledningen sedan den 1 juli </w:t>
      </w:r>
      <w:r w:rsidRPr="008738E4">
        <w:rPr>
          <w:rFonts w:eastAsiaTheme="minorEastAsia"/>
          <w:szCs w:val="20"/>
          <w:lang w:val="sv-SE"/>
        </w:rPr>
        <w:t>2016. Tobiasen har varit Chief HR Officer på Philips Lighting, en avdelning på Royal Philips Group, där hon hade det globala ansvaret för HR &amp; Transformation. Innan hon arbetade på Philips Lighting hade hon flertalet senior internationella roller vid SAP EMEA, senast som Senior</w:t>
      </w:r>
      <w:r>
        <w:rPr>
          <w:rFonts w:eastAsiaTheme="minorEastAsia"/>
          <w:szCs w:val="20"/>
          <w:lang w:val="sv-SE"/>
        </w:rPr>
        <w:t xml:space="preserve"> </w:t>
      </w:r>
      <w:r w:rsidRPr="008738E4">
        <w:rPr>
          <w:rFonts w:eastAsiaTheme="minorEastAsia"/>
          <w:szCs w:val="20"/>
          <w:lang w:val="sv-SE"/>
        </w:rPr>
        <w:t>Vice Ordförande, HR &amp; Transformation.</w:t>
      </w:r>
    </w:p>
    <w:p w:rsidR="00E55762" w:rsidRPr="001056AB" w:rsidP="00E55762">
      <w:pPr>
        <w:pStyle w:val="BodyText"/>
        <w:rPr>
          <w:rFonts w:eastAsiaTheme="minorEastAsia"/>
          <w:szCs w:val="20"/>
          <w:lang w:val="sv-SE"/>
        </w:rPr>
      </w:pPr>
      <w:r w:rsidRPr="008738E4">
        <w:rPr>
          <w:rFonts w:eastAsiaTheme="minorEastAsia"/>
          <w:i/>
          <w:iCs/>
          <w:szCs w:val="20"/>
          <w:lang w:val="sv-SE"/>
        </w:rPr>
        <w:t xml:space="preserve">Topi Manner </w:t>
      </w:r>
      <w:r w:rsidRPr="008738E4">
        <w:rPr>
          <w:rFonts w:eastAsiaTheme="minorEastAsia"/>
          <w:szCs w:val="20"/>
          <w:lang w:val="sv-SE"/>
        </w:rPr>
        <w:t>har varit Tillföro</w:t>
      </w:r>
      <w:r>
        <w:rPr>
          <w:rFonts w:eastAsiaTheme="minorEastAsia"/>
          <w:szCs w:val="20"/>
          <w:lang w:val="sv-SE"/>
        </w:rPr>
        <w:t>r</w:t>
      </w:r>
      <w:r w:rsidRPr="008738E4">
        <w:rPr>
          <w:rFonts w:eastAsiaTheme="minorEastAsia"/>
          <w:szCs w:val="20"/>
          <w:lang w:val="sv-SE"/>
        </w:rPr>
        <w:t>dnad Vice Ordföranden, Chef för Person</w:t>
      </w:r>
      <w:r>
        <w:rPr>
          <w:rFonts w:eastAsiaTheme="minorEastAsia"/>
          <w:szCs w:val="20"/>
          <w:lang w:val="sv-SE"/>
        </w:rPr>
        <w:t>al Banking och medlem i Koncern</w:t>
      </w:r>
      <w:r w:rsidRPr="008738E4">
        <w:rPr>
          <w:rFonts w:eastAsiaTheme="minorEastAsia"/>
          <w:szCs w:val="20"/>
          <w:lang w:val="sv-SE"/>
        </w:rPr>
        <w:t>l</w:t>
      </w:r>
      <w:r>
        <w:rPr>
          <w:rFonts w:eastAsiaTheme="minorEastAsia"/>
          <w:szCs w:val="20"/>
          <w:lang w:val="sv-SE"/>
        </w:rPr>
        <w:t>e</w:t>
      </w:r>
      <w:r w:rsidRPr="008738E4">
        <w:rPr>
          <w:rFonts w:eastAsiaTheme="minorEastAsia"/>
          <w:szCs w:val="20"/>
          <w:lang w:val="sv-SE"/>
        </w:rPr>
        <w:t>dningen sedan den 1 juli år 2016. Manner har även varit VD för NBF sedan år 2015. Manner har varit på Nordea (tidigare Merita) sedan år 1998 och har haft flertalet senior</w:t>
      </w:r>
      <w:r>
        <w:rPr>
          <w:rFonts w:eastAsiaTheme="minorEastAsia"/>
          <w:szCs w:val="20"/>
          <w:lang w:val="sv-SE"/>
        </w:rPr>
        <w:t>a</w:t>
      </w:r>
      <w:r w:rsidRPr="008738E4">
        <w:rPr>
          <w:rFonts w:eastAsiaTheme="minorEastAsia"/>
          <w:szCs w:val="20"/>
          <w:lang w:val="sv-SE"/>
        </w:rPr>
        <w:t xml:space="preserve"> positioner inom Retail Banking, inklusive chef för Banking, Finland and Baltics.</w:t>
      </w:r>
    </w:p>
    <w:p w:rsidR="00E55762" w:rsidP="00E55762">
      <w:pPr>
        <w:pStyle w:val="BodyText"/>
        <w:rPr>
          <w:lang w:val="sv-SE"/>
        </w:rPr>
      </w:pPr>
      <w:r>
        <w:rPr>
          <w:i/>
          <w:lang w:val="sv-SE"/>
        </w:rPr>
        <w:t>Matthew Elderfield</w:t>
      </w:r>
      <w:r>
        <w:rPr>
          <w:lang w:val="sv-SE"/>
        </w:rPr>
        <w:t xml:space="preserve"> har varit chef för Group Compliance, Group Compliance Officer </w:t>
      </w:r>
      <w:r w:rsidRPr="008738E4">
        <w:rPr>
          <w:lang w:val="sv-SE"/>
        </w:rPr>
        <w:t>och medlem i K</w:t>
      </w:r>
      <w:r>
        <w:rPr>
          <w:lang w:val="sv-SE"/>
        </w:rPr>
        <w:t>oncernledningen sedan 2016. Elderfield</w:t>
      </w:r>
      <w:r w:rsidRPr="008738E4">
        <w:rPr>
          <w:lang w:val="sv-SE"/>
        </w:rPr>
        <w:t xml:space="preserve"> anslöt till Nordea</w:t>
      </w:r>
      <w:r>
        <w:rPr>
          <w:lang w:val="sv-SE"/>
        </w:rPr>
        <w:t xml:space="preserve"> Group år 2016.</w:t>
      </w:r>
    </w:p>
    <w:p w:rsidR="00E55762" w:rsidRPr="00F714B4" w:rsidP="00E55762">
      <w:pPr>
        <w:pStyle w:val="BodyText"/>
        <w:rPr>
          <w:lang w:val="sv-SE"/>
        </w:rPr>
      </w:pPr>
      <w:r>
        <w:rPr>
          <w:i/>
          <w:lang w:val="sv-SE"/>
        </w:rPr>
        <w:t>Martin Persson</w:t>
      </w:r>
      <w:r>
        <w:rPr>
          <w:lang w:val="sv-SE"/>
        </w:rPr>
        <w:t xml:space="preserve"> har varit Chef för Wholesale Banking och medlem i Koncernledningen sedan 2016. Persson var Co-head of Markets Equities från det att han anslöt till Nordea i 2012 till dess att han fick sin nuvarande befattning. </w:t>
      </w:r>
    </w:p>
    <w:p w:rsidR="00E55762" w:rsidRPr="00D0462E" w:rsidP="00E55762">
      <w:pPr>
        <w:pStyle w:val="Title7"/>
        <w:rPr>
          <w:b/>
          <w:i w:val="0"/>
          <w:lang w:val="sv-SE"/>
        </w:rPr>
      </w:pPr>
      <w:r>
        <w:rPr>
          <w:b/>
          <w:i w:val="0"/>
          <w:lang w:val="sv-SE"/>
        </w:rPr>
        <w:t xml:space="preserve">UPPRÄTTANDE AV GROUP CREDIT RISK MANAGEMENT </w:t>
      </w:r>
    </w:p>
    <w:p w:rsidR="00E55762" w:rsidRPr="0067412A" w:rsidP="00E55762">
      <w:pPr>
        <w:pStyle w:val="BodyText"/>
        <w:rPr>
          <w:lang w:val="sv-SE"/>
        </w:rPr>
      </w:pPr>
      <w:r>
        <w:rPr>
          <w:lang w:val="sv-SE"/>
        </w:rPr>
        <w:t>Nordea har upprättat en ny enhet vid namn Group Credit Risk Management som är separat från bankens internkontroll och Chief Risk Officer (”</w:t>
      </w:r>
      <w:r>
        <w:rPr>
          <w:b/>
          <w:lang w:val="sv-SE"/>
        </w:rPr>
        <w:t>CRO</w:t>
      </w:r>
      <w:r>
        <w:rPr>
          <w:lang w:val="sv-SE"/>
        </w:rPr>
        <w:t xml:space="preserve">”). Den nya enheten kommer att ansvara för Nordeas kreditriskhantering, inklusive beslut för utfärdande av krediter och arbete i kreditkommittéer, kreditanalys och kreditprocesser. Ari Kaperi är chef för Group Credit Risk Management och har lämnat koncernledningen sedan 1 januari 2017. Julie Galbo anslöt till Koncernledningen och som chef för Group Risk Management från 1 januari 2017. </w:t>
      </w:r>
      <w:r w:rsidRPr="008738E4">
        <w:rPr>
          <w:lang w:val="sv-SE"/>
        </w:rPr>
        <w:t>.</w:t>
      </w:r>
      <w:r w:rsidRPr="0067412A">
        <w:rPr>
          <w:lang w:val="sv-SE"/>
        </w:rPr>
        <w:br w:type="page"/>
      </w:r>
    </w:p>
    <w:p w:rsidR="00BC0214" w:rsidP="003044B5">
      <w:pPr>
        <w:pStyle w:val="Title1"/>
        <w:rPr>
          <w:rFonts w:hint="eastAsia"/>
        </w:rPr>
      </w:pPr>
      <w:r w:rsidRPr="00B971B4">
        <w:t>APPENDIX 1</w:t>
      </w:r>
      <w:bookmarkStart w:id="1" w:name="_Toc375248575"/>
      <w:bookmarkStart w:id="2" w:name="_Toc406685936"/>
      <w:bookmarkStart w:id="3" w:name="_Toc446107282"/>
      <w:bookmarkStart w:id="4" w:name="_Toc453679722"/>
    </w:p>
    <w:p w:rsidR="00BC0214" w:rsidRPr="0062624E" w:rsidP="003044B5">
      <w:pPr>
        <w:pStyle w:val="Title3"/>
        <w:rPr>
          <w:rFonts w:hint="eastAsia"/>
        </w:rPr>
      </w:pPr>
      <w:r w:rsidRPr="0062624E">
        <w:t>SUMMARY OF THE BASE PROSPECTUS</w:t>
      </w:r>
      <w:bookmarkEnd w:id="1"/>
      <w:bookmarkEnd w:id="2"/>
      <w:bookmarkEnd w:id="3"/>
      <w:bookmarkEnd w:id="4"/>
    </w:p>
    <w:p w:rsidR="00BC0214" w:rsidRPr="00293B1F" w:rsidP="00BC0214">
      <w:pPr>
        <w:pStyle w:val="Title7"/>
        <w:keepNext w:val="0"/>
      </w:pPr>
      <w:r w:rsidRPr="00293B1F">
        <w:t>Summaries are made up of disclosure requirements known as "Elements". These elements are numbered in Sections A – E (A.1 – E.7).</w:t>
      </w:r>
    </w:p>
    <w:p w:rsidR="00BC0214" w:rsidRPr="00293B1F" w:rsidP="00BC0214">
      <w:pPr>
        <w:pStyle w:val="Title7"/>
        <w:keepNext w:val="0"/>
      </w:pPr>
      <w:r w:rsidRPr="00293B1F">
        <w:t>This summary contains all the Elements required to be included in a summary for th</w:t>
      </w:r>
      <w:r w:rsidR="002F393C">
        <w:t>e</w:t>
      </w:r>
      <w:r w:rsidRPr="00293B1F">
        <w:t>s</w:t>
      </w:r>
      <w:r w:rsidR="002F393C">
        <w:t>e</w:t>
      </w:r>
      <w:r w:rsidRPr="00293B1F">
        <w:t xml:space="preserve"> type</w:t>
      </w:r>
      <w:r w:rsidR="004C061D">
        <w:t>s</w:t>
      </w:r>
      <w:r w:rsidRPr="00293B1F">
        <w:t xml:space="preserve"> of securities and </w:t>
      </w:r>
      <w:r w:rsidR="002F393C">
        <w:t>the</w:t>
      </w:r>
      <w:r w:rsidR="00F3587A">
        <w:t xml:space="preserve"> Issuer</w:t>
      </w:r>
      <w:r w:rsidRPr="00293B1F">
        <w:t>. Because some Elements are not required to be addressed, there may be gaps in the numbering sequence of the Elements.</w:t>
      </w:r>
    </w:p>
    <w:p w:rsidR="00BC0214" w:rsidRPr="00293B1F" w:rsidP="00BC0214">
      <w:pPr>
        <w:pStyle w:val="Title7"/>
        <w:keepNext w:val="0"/>
      </w:pPr>
      <w:r w:rsidRPr="00293B1F">
        <w:t xml:space="preserve">Even though an Element may be required to be inserted in the summary because of the type of securities and </w:t>
      </w:r>
      <w:r w:rsidR="00F3587A">
        <w:t xml:space="preserve">the </w:t>
      </w:r>
      <w:r w:rsidRPr="00293B1F">
        <w:t>Issuer, it is possible that no relevant information can be given regarding the Element. In this case a short description of the Element is included in the summary with the mention of "Not Applicable".</w:t>
      </w:r>
    </w:p>
    <w:p w:rsidR="00BC0214" w:rsidRPr="00293B1F" w:rsidP="00BC0214">
      <w:pPr>
        <w:pStyle w:val="Title7"/>
        <w:keepNext w:val="0"/>
      </w:pPr>
      <w:r w:rsidRPr="00293B1F">
        <w:t>In particular Elements in italics denote placeholders for completing the issue specific summary relating to a Tranche of Instruments for which such issue specific summary is to be prepared.</w:t>
      </w:r>
    </w:p>
    <w:p w:rsidR="00BC0214" w:rsidRPr="00293B1F" w:rsidP="00BC0214">
      <w:pPr>
        <w:pStyle w:val="Title7"/>
      </w:pPr>
      <w:r w:rsidRPr="00293B1F">
        <w:rPr>
          <w:szCs w:val="20"/>
        </w:rPr>
        <w:t>Words and expressions defined in the sections entitled "Terms and Conditions of the Instruments" or elsewhere in this Base Prospectus have the same meanings in this summary</w:t>
      </w:r>
      <w:r w:rsidRPr="00293B1F">
        <w:t>.</w:t>
      </w:r>
    </w:p>
    <w:tbl>
      <w:tblPr>
        <w:tblW w:w="5000" w:type="pct"/>
        <w:tblLayout w:type="fixed"/>
        <w:tblLook w:val="0000"/>
      </w:tblPr>
      <w:tblGrid>
        <w:gridCol w:w="675"/>
        <w:gridCol w:w="1385"/>
        <w:gridCol w:w="6660"/>
      </w:tblGrid>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Next/>
              <w:jc w:val="center"/>
              <w:rPr>
                <w:b/>
              </w:rPr>
            </w:pP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Next/>
              <w:jc w:val="center"/>
              <w:rPr>
                <w:b/>
              </w:rPr>
            </w:pPr>
          </w:p>
        </w:tc>
        <w:tc>
          <w:tcPr>
            <w:tcW w:w="3819" w:type="pct"/>
            <w:tcBorders>
              <w:top w:val="single" w:sz="4" w:space="0" w:color="auto"/>
              <w:left w:val="single" w:sz="4" w:space="0" w:color="auto"/>
              <w:bottom w:val="single" w:sz="4" w:space="0" w:color="auto"/>
              <w:right w:val="single" w:sz="4" w:space="0" w:color="auto"/>
            </w:tcBorders>
          </w:tcPr>
          <w:p w:rsidR="00BC0214" w:rsidRPr="00293B1F" w:rsidP="00314D55">
            <w:pPr>
              <w:pStyle w:val="BodyText"/>
              <w:keepNext/>
              <w:jc w:val="center"/>
              <w:rPr>
                <w:rStyle w:val="EndnoteReference"/>
                <w:b/>
              </w:rPr>
            </w:pPr>
            <w:r w:rsidRPr="00293B1F">
              <w:rPr>
                <w:b/>
              </w:rPr>
              <w:t>Section A – Introduction and Warnings</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rStyle w:val="EndnoteReference"/>
                <w:b/>
              </w:rPr>
            </w:pPr>
            <w:r w:rsidRPr="00293B1F">
              <w:rPr>
                <w:b/>
              </w:rPr>
              <w:t>A.1</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rStyle w:val="EndnoteReference"/>
                <w:b/>
              </w:rPr>
            </w:pPr>
            <w:r w:rsidRPr="00293B1F">
              <w:rPr>
                <w:b/>
              </w:rPr>
              <w:t>Introduction:</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i/>
                <w:iCs/>
              </w:rPr>
            </w:pPr>
            <w:r w:rsidRPr="00293B1F">
              <w:rPr>
                <w:i/>
                <w:iCs/>
              </w:rPr>
              <w:t>This summary should be read as an introduction to this Base Prospectus and any decision to invest in the Instruments should be based on a consideration of the Base Prospectus as a whole by the investor.  Where a claim relating to the information contained in this Base Prospectus is brought before a court in a Member State of the European Economic Area, the plaintiff may, under the national legislation of the Member States, be required to bear the costs of translating the Base Prospectus before the legal proceedings are initiated.  No civil liab</w:t>
            </w:r>
            <w:r w:rsidR="00E86D1C">
              <w:rPr>
                <w:i/>
                <w:iCs/>
              </w:rPr>
              <w:t>ility will attach to the Issuer</w:t>
            </w:r>
            <w:r>
              <w:rPr>
                <w:rStyle w:val="FootnoteReference"/>
                <w:b/>
              </w:rPr>
              <w:footnoteReference w:id="2"/>
            </w:r>
            <w:r w:rsidRPr="00293B1F">
              <w:rPr>
                <w:i/>
                <w:iCs/>
              </w:rPr>
              <w:t xml:space="preserve"> in any such Member State solely on the basis of this summary, including any translation thereof, unless it is misleading, inaccurate or inconsistent when read together with the other parts of this Base Prospectus or it does not provide, when read together with the other parts of this Base Prospectus, key information in order to aid investors when considering whether to invest in the Instruments.  </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rPr>
            </w:pPr>
            <w:r w:rsidRPr="00293B1F">
              <w:rPr>
                <w:b/>
              </w:rPr>
              <w:t>A.2</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rPr>
            </w:pPr>
            <w:r w:rsidRPr="00293B1F">
              <w:rPr>
                <w:b/>
              </w:rPr>
              <w:t>Consent:</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pPr>
            <w:r w:rsidRPr="00293B1F">
              <w:t>Instruments may be offered in circumstances where there is no exemption from the obligation under the Prospectus Directive to publish a prospectus. Any such offer is referred to as a "</w:t>
            </w:r>
            <w:r w:rsidRPr="00293B1F">
              <w:rPr>
                <w:b/>
                <w:bCs/>
              </w:rPr>
              <w:t>Public Offer</w:t>
            </w:r>
            <w:r w:rsidRPr="00293B1F">
              <w:t>".</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rPr>
            </w:pP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rPr>
            </w:pPr>
          </w:p>
        </w:tc>
        <w:tc>
          <w:tcPr>
            <w:tcW w:w="3819"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i/>
                <w:iCs/>
              </w:rPr>
            </w:pPr>
            <w:r w:rsidRPr="00293B1F">
              <w:rPr>
                <w:i/>
                <w:iCs/>
              </w:rPr>
              <w:t>The Issuer consents to the use of this Base Prospectus in connection with a Public Offer of the Instruments by any financial intermediary which is authorised to make such offers under the Markets in Financial Instruments Directive (Directive 2004/39/EC) (an "</w:t>
            </w:r>
            <w:r w:rsidRPr="00293B1F">
              <w:rPr>
                <w:b/>
                <w:bCs/>
                <w:i/>
                <w:iCs/>
              </w:rPr>
              <w:t>Authorised Offeror</w:t>
            </w:r>
            <w:r w:rsidRPr="00293B1F">
              <w:rPr>
                <w:i/>
                <w:iCs/>
              </w:rPr>
              <w:t>") on the following basis: (a) the relevant Public Offer must occur during the period from and including [•] to but excluding [•] (the "</w:t>
            </w:r>
            <w:r w:rsidRPr="00293B1F">
              <w:rPr>
                <w:b/>
                <w:bCs/>
                <w:i/>
                <w:iCs/>
              </w:rPr>
              <w:t>Offer Period</w:t>
            </w:r>
            <w:r w:rsidRPr="00293B1F">
              <w:rPr>
                <w:i/>
                <w:iCs/>
              </w:rPr>
              <w:t>") in [•] [and [•]] (the "</w:t>
            </w:r>
            <w:r w:rsidRPr="00293B1F">
              <w:rPr>
                <w:b/>
                <w:bCs/>
                <w:i/>
                <w:iCs/>
              </w:rPr>
              <w:t>Public Offer Jurisdiction(s)</w:t>
            </w:r>
            <w:r w:rsidRPr="00293B1F">
              <w:rPr>
                <w:i/>
                <w:iCs/>
              </w:rPr>
              <w:t>") and (b) the relevant Authorised Offeror must have agreed to the Authorised Offeror Terms [and satisfy the following additional conditions: [•]]./The Issuer consents to the use of this Base Prospectus in connection with a Public Offer of the Instruments by [•](an "</w:t>
            </w:r>
            <w:r w:rsidRPr="00293B1F">
              <w:rPr>
                <w:b/>
                <w:bCs/>
                <w:i/>
                <w:iCs/>
              </w:rPr>
              <w:t>Authorised Offeror</w:t>
            </w:r>
            <w:r w:rsidRPr="00293B1F">
              <w:rPr>
                <w:i/>
                <w:iCs/>
              </w:rPr>
              <w:t>") on the following basis: (a) the relevant Public Offer must occur during the period from and including [•]] to but excluding [•] (the "</w:t>
            </w:r>
            <w:r w:rsidRPr="00293B1F">
              <w:rPr>
                <w:b/>
                <w:bCs/>
                <w:i/>
                <w:iCs/>
              </w:rPr>
              <w:t>Offer Period</w:t>
            </w:r>
            <w:r w:rsidRPr="00293B1F">
              <w:rPr>
                <w:i/>
                <w:iCs/>
              </w:rPr>
              <w:t>") in [•] [and [•]] (the "</w:t>
            </w:r>
            <w:r w:rsidRPr="00293B1F">
              <w:rPr>
                <w:b/>
                <w:bCs/>
                <w:i/>
                <w:iCs/>
              </w:rPr>
              <w:t>Public Offer Jurisdiction(s)</w:t>
            </w:r>
            <w:r w:rsidRPr="00293B1F">
              <w:rPr>
                <w:i/>
                <w:iCs/>
              </w:rPr>
              <w:t>") and (b) the relevant Authorised Offeror must have agreed to the Authorised Offeror Terms [and satisfy the following additional conditions: [•]].</w:t>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000000"/>
              <w:right w:val="single" w:sz="4" w:space="0" w:color="auto"/>
            </w:tcBorders>
          </w:tcPr>
          <w:p w:rsidR="00BC0214" w:rsidRPr="00293B1F" w:rsidP="00F3587A">
            <w:pPr>
              <w:pStyle w:val="BodyText"/>
              <w:rPr>
                <w:b/>
              </w:rPr>
            </w:pPr>
          </w:p>
        </w:tc>
        <w:tc>
          <w:tcPr>
            <w:tcW w:w="794" w:type="pct"/>
            <w:tcBorders>
              <w:top w:val="single" w:sz="4" w:space="0" w:color="auto"/>
              <w:left w:val="single" w:sz="4" w:space="0" w:color="auto"/>
              <w:bottom w:val="single" w:sz="4" w:space="0" w:color="000000"/>
              <w:right w:val="single" w:sz="4" w:space="0" w:color="auto"/>
            </w:tcBorders>
          </w:tcPr>
          <w:p w:rsidR="00BC0214" w:rsidRPr="00293B1F" w:rsidP="00F3587A">
            <w:pPr>
              <w:pStyle w:val="BodyText"/>
              <w:rPr>
                <w:b/>
              </w:rPr>
            </w:pPr>
          </w:p>
        </w:tc>
        <w:tc>
          <w:tcPr>
            <w:tcW w:w="3819" w:type="pct"/>
            <w:tcBorders>
              <w:top w:val="single" w:sz="4" w:space="0" w:color="auto"/>
              <w:left w:val="single" w:sz="4" w:space="0" w:color="auto"/>
              <w:bottom w:val="single" w:sz="4" w:space="0" w:color="000000"/>
              <w:right w:val="single" w:sz="4" w:space="0" w:color="auto"/>
            </w:tcBorders>
          </w:tcPr>
          <w:p w:rsidR="00BC0214" w:rsidRPr="00293B1F" w:rsidP="00F3587A">
            <w:pPr>
              <w:pStyle w:val="BodyText"/>
              <w:rPr>
                <w:b/>
                <w:bCs/>
              </w:rPr>
            </w:pPr>
            <w:r w:rsidRPr="00293B1F">
              <w:rPr>
                <w:b/>
                <w:bCs/>
              </w:rPr>
              <w:t>Authorised Offerors will provide information to an Investor on the terms and conditions of the Public Offer of the relevant Instruments at the time such Public Offer is made by the Authorised Offeror to the Investor.</w:t>
            </w:r>
          </w:p>
        </w:tc>
      </w:tr>
      <w:tr w:rsidTr="0058649F">
        <w:tblPrEx>
          <w:tblW w:w="5000" w:type="pct"/>
          <w:tblLayout w:type="fixed"/>
          <w:tblLook w:val="0000"/>
        </w:tblPrEx>
        <w:trPr>
          <w:cantSplit/>
        </w:trPr>
        <w:tc>
          <w:tcPr>
            <w:tcW w:w="387" w:type="pct"/>
            <w:tcBorders>
              <w:top w:val="single" w:sz="4" w:space="0" w:color="000000"/>
              <w:left w:val="single" w:sz="4" w:space="0" w:color="auto"/>
              <w:bottom w:val="single" w:sz="4" w:space="0" w:color="auto"/>
              <w:right w:val="single" w:sz="4" w:space="0" w:color="auto"/>
            </w:tcBorders>
          </w:tcPr>
          <w:p w:rsidR="00BC0214" w:rsidRPr="00293B1F" w:rsidP="00F3587A">
            <w:pPr>
              <w:pStyle w:val="BodyText"/>
              <w:keepNext/>
              <w:jc w:val="center"/>
              <w:rPr>
                <w:b/>
              </w:rPr>
            </w:pPr>
          </w:p>
        </w:tc>
        <w:tc>
          <w:tcPr>
            <w:tcW w:w="4613" w:type="pct"/>
            <w:gridSpan w:val="2"/>
            <w:tcBorders>
              <w:top w:val="single" w:sz="4" w:space="0" w:color="000000"/>
              <w:left w:val="single" w:sz="4" w:space="0" w:color="auto"/>
              <w:bottom w:val="single" w:sz="4" w:space="0" w:color="auto"/>
              <w:right w:val="single" w:sz="4" w:space="0" w:color="auto"/>
            </w:tcBorders>
          </w:tcPr>
          <w:p w:rsidR="00BC0214" w:rsidRPr="00293B1F" w:rsidP="00314D55">
            <w:pPr>
              <w:pStyle w:val="BodyText"/>
              <w:jc w:val="center"/>
            </w:pPr>
            <w:r w:rsidRPr="00293B1F">
              <w:rPr>
                <w:b/>
              </w:rPr>
              <w:t>Section B – Issuer</w:t>
            </w:r>
          </w:p>
        </w:tc>
      </w:tr>
      <w:tr w:rsidTr="0058649F">
        <w:tblPrEx>
          <w:tblW w:w="5000" w:type="pct"/>
          <w:tblLayout w:type="fixed"/>
          <w:tblLook w:val="0000"/>
        </w:tblPrEx>
        <w:trPr>
          <w:cantSplit/>
        </w:trPr>
        <w:tc>
          <w:tcPr>
            <w:tcW w:w="387" w:type="pct"/>
            <w:tcBorders>
              <w:top w:val="single" w:sz="4" w:space="0" w:color="auto"/>
              <w:left w:val="single" w:sz="4" w:space="0" w:color="auto"/>
              <w:right w:val="single" w:sz="4" w:space="0" w:color="auto"/>
            </w:tcBorders>
          </w:tcPr>
          <w:p w:rsidR="00BC0214" w:rsidRPr="00293B1F" w:rsidP="00F3587A">
            <w:pPr>
              <w:pStyle w:val="BodyText"/>
              <w:rPr>
                <w:b/>
                <w:bCs/>
              </w:rPr>
            </w:pPr>
            <w:r w:rsidRPr="00293B1F">
              <w:rPr>
                <w:b/>
                <w:bCs/>
              </w:rPr>
              <w:t>B.1</w:t>
            </w:r>
          </w:p>
        </w:tc>
        <w:tc>
          <w:tcPr>
            <w:tcW w:w="794" w:type="pct"/>
            <w:tcBorders>
              <w:top w:val="single" w:sz="4" w:space="0" w:color="auto"/>
              <w:left w:val="single" w:sz="4" w:space="0" w:color="auto"/>
              <w:right w:val="single" w:sz="4" w:space="0" w:color="auto"/>
            </w:tcBorders>
          </w:tcPr>
          <w:p w:rsidR="00BC0214" w:rsidRPr="00293B1F" w:rsidP="00F3587A">
            <w:pPr>
              <w:pStyle w:val="BodyText"/>
              <w:jc w:val="left"/>
              <w:rPr>
                <w:b/>
                <w:bCs/>
              </w:rPr>
            </w:pPr>
            <w:r>
              <w:rPr>
                <w:b/>
                <w:bCs/>
                <w:iCs/>
              </w:rPr>
              <w:t>Legal name</w:t>
            </w:r>
            <w:r w:rsidRPr="00293B1F">
              <w:rPr>
                <w:b/>
                <w:bCs/>
                <w:iCs/>
              </w:rPr>
              <w:t xml:space="preserve"> of the Issuer</w:t>
            </w:r>
            <w:r w:rsidRPr="00293B1F">
              <w:rPr>
                <w:b/>
                <w:bCs/>
              </w:rPr>
              <w:t>:</w:t>
            </w:r>
          </w:p>
        </w:tc>
        <w:tc>
          <w:tcPr>
            <w:tcW w:w="3819" w:type="pct"/>
            <w:tcBorders>
              <w:top w:val="single" w:sz="4" w:space="0" w:color="auto"/>
              <w:left w:val="single" w:sz="4" w:space="0" w:color="auto"/>
              <w:right w:val="single" w:sz="4" w:space="0" w:color="auto"/>
            </w:tcBorders>
          </w:tcPr>
          <w:p w:rsidR="00BC0214" w:rsidRPr="004D590E" w:rsidP="00314D55">
            <w:pPr>
              <w:pStyle w:val="BodyText"/>
              <w:rPr>
                <w:lang w:val="de-DE"/>
              </w:rPr>
            </w:pPr>
            <w:r w:rsidRPr="00293B1F">
              <w:rPr>
                <w:lang w:val="de-DE"/>
              </w:rPr>
              <w:t>Nordea Bank AB (publ)</w:t>
            </w:r>
            <w:r>
              <w:rPr>
                <w:rStyle w:val="FootnoteReference"/>
                <w:b/>
              </w:rPr>
              <w:footnoteReference w:id="3"/>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iCs/>
              </w:rPr>
            </w:pPr>
            <w:r w:rsidRPr="00293B1F">
              <w:rPr>
                <w:b/>
                <w:bCs/>
                <w:iCs/>
              </w:rPr>
              <w:t>Commercial</w:t>
            </w:r>
            <w:r w:rsidRPr="00293B1F">
              <w:rPr>
                <w:i/>
              </w:rPr>
              <w:t xml:space="preserve"> </w:t>
            </w:r>
            <w:r w:rsidR="002F393C">
              <w:rPr>
                <w:b/>
                <w:bCs/>
                <w:iCs/>
              </w:rPr>
              <w:t>name</w:t>
            </w:r>
            <w:r w:rsidR="00F3587A">
              <w:rPr>
                <w:b/>
                <w:bCs/>
                <w:iCs/>
              </w:rPr>
              <w:t xml:space="preserve"> of the Issuer</w:t>
            </w:r>
            <w:r w:rsidRPr="00293B1F">
              <w:rPr>
                <w:b/>
                <w:bCs/>
              </w:rPr>
              <w:t>:</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pPr>
            <w:r w:rsidRPr="00293B1F">
              <w:t>Nordea</w:t>
            </w:r>
          </w:p>
        </w:tc>
      </w:tr>
      <w:tr w:rsidTr="0058649F">
        <w:tblPrEx>
          <w:tblW w:w="5000" w:type="pct"/>
          <w:tblLayout w:type="fixed"/>
          <w:tblLook w:val="0000"/>
        </w:tblPrEx>
        <w:trPr>
          <w:cantSplit/>
        </w:trPr>
        <w:tc>
          <w:tcPr>
            <w:tcW w:w="387" w:type="pct"/>
            <w:tcBorders>
              <w:top w:val="single" w:sz="4" w:space="0" w:color="auto"/>
              <w:left w:val="single" w:sz="4" w:space="0" w:color="auto"/>
              <w:right w:val="single" w:sz="4" w:space="0" w:color="auto"/>
            </w:tcBorders>
          </w:tcPr>
          <w:p w:rsidR="00BC0214" w:rsidRPr="00293B1F" w:rsidP="00F3587A">
            <w:pPr>
              <w:pStyle w:val="BodyText"/>
              <w:rPr>
                <w:b/>
                <w:bCs/>
              </w:rPr>
            </w:pPr>
            <w:r w:rsidRPr="00293B1F">
              <w:rPr>
                <w:b/>
                <w:bCs/>
              </w:rPr>
              <w:t>B.2</w:t>
            </w:r>
          </w:p>
        </w:tc>
        <w:tc>
          <w:tcPr>
            <w:tcW w:w="794" w:type="pct"/>
            <w:tcBorders>
              <w:top w:val="single" w:sz="4" w:space="0" w:color="auto"/>
              <w:left w:val="single" w:sz="4" w:space="0" w:color="auto"/>
              <w:right w:val="single" w:sz="4" w:space="0" w:color="auto"/>
            </w:tcBorders>
          </w:tcPr>
          <w:p w:rsidR="00BC0214" w:rsidRPr="00293B1F" w:rsidP="00F3587A">
            <w:pPr>
              <w:pStyle w:val="BodyText"/>
              <w:jc w:val="left"/>
              <w:rPr>
                <w:b/>
                <w:bCs/>
              </w:rPr>
            </w:pPr>
            <w:r w:rsidRPr="00293B1F">
              <w:rPr>
                <w:b/>
                <w:bCs/>
              </w:rPr>
              <w:t>Domicile and legal forms of the Issuer:</w:t>
            </w:r>
          </w:p>
        </w:tc>
        <w:tc>
          <w:tcPr>
            <w:tcW w:w="3819" w:type="pct"/>
            <w:tcBorders>
              <w:top w:val="single" w:sz="4" w:space="0" w:color="auto"/>
              <w:left w:val="single" w:sz="4" w:space="0" w:color="auto"/>
              <w:right w:val="single" w:sz="4" w:space="0" w:color="auto"/>
            </w:tcBorders>
          </w:tcPr>
          <w:p w:rsidR="00BC0214" w:rsidRPr="00293B1F" w:rsidP="00735241">
            <w:pPr>
              <w:pStyle w:val="BodyText"/>
            </w:pPr>
            <w:r w:rsidRPr="00293B1F">
              <w:t>NBAB is a public (publ) limited liability company with registration No. 516406-0120.  The head office is located in Stockholm at the following address: Smålandsgatan 17, 105 71 Stockholm.  The principal legislation under which NBAB operates is the Swedish Companies Act and the Swedish Banking and Financing Business Act.</w:t>
            </w:r>
            <w:r w:rsidR="00735241">
              <w:rPr>
                <w:vertAlign w:val="superscript"/>
              </w:rPr>
              <w:t>2</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B.4b</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iCs/>
              </w:rPr>
            </w:pPr>
            <w:r w:rsidRPr="00293B1F">
              <w:rPr>
                <w:b/>
                <w:bCs/>
                <w:iCs/>
              </w:rPr>
              <w:t>Trends:</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735241">
            <w:pPr>
              <w:pStyle w:val="BodyText"/>
            </w:pPr>
            <w:r w:rsidRPr="00293B1F">
              <w:t>Not applicable.  There are no cl</w:t>
            </w:r>
            <w:r w:rsidR="00F3587A">
              <w:t>ear trends affecting the Issuer</w:t>
            </w:r>
            <w:r w:rsidRPr="00293B1F">
              <w:t xml:space="preserve"> or the markets in which </w:t>
            </w:r>
            <w:r w:rsidR="00F3587A">
              <w:t>it</w:t>
            </w:r>
            <w:r w:rsidRPr="00293B1F">
              <w:t xml:space="preserve"> operate</w:t>
            </w:r>
            <w:r w:rsidR="00FE4742">
              <w:t>s</w:t>
            </w:r>
            <w:r w:rsidRPr="00293B1F">
              <w:t>.</w:t>
            </w:r>
            <w:r w:rsidR="00735241">
              <w:rPr>
                <w:vertAlign w:val="superscript"/>
              </w:rPr>
              <w:t>2</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B.5</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r w:rsidRPr="00293B1F">
              <w:rPr>
                <w:b/>
                <w:bCs/>
              </w:rPr>
              <w:t>The Group:</w:t>
            </w:r>
          </w:p>
        </w:tc>
        <w:tc>
          <w:tcPr>
            <w:tcW w:w="3819" w:type="pct"/>
            <w:tcBorders>
              <w:top w:val="single" w:sz="4" w:space="0" w:color="auto"/>
              <w:left w:val="single" w:sz="4" w:space="0" w:color="auto"/>
              <w:bottom w:val="single" w:sz="4" w:space="0" w:color="auto"/>
              <w:right w:val="single" w:sz="4" w:space="0" w:color="auto"/>
            </w:tcBorders>
          </w:tcPr>
          <w:p w:rsidR="00BC0214" w:rsidP="00F3587A">
            <w:pPr>
              <w:pStyle w:val="BodyText"/>
            </w:pPr>
            <w:r w:rsidRPr="00293B1F">
              <w:t>NBAB is the parent company of the Nordea Group.  The Nordea Group is a large financial services group in the Nordic markets (Denmark, Finland, Norway and Sweden), with additional operations in Russia, the Baltic countries and Luxembourg, as well as branches in a number of other international locations.</w:t>
            </w:r>
          </w:p>
          <w:p w:rsidR="00BC0214" w:rsidRPr="00293B1F" w:rsidP="004C061D">
            <w:pPr>
              <w:pStyle w:val="BodyText"/>
            </w:pPr>
            <w:r>
              <w:t xml:space="preserve">As part of an initiative to simplify the Nordea Group's legal structure, on </w:t>
            </w:r>
            <w:r w:rsidR="004C061D">
              <w:t>2</w:t>
            </w:r>
            <w:r>
              <w:t xml:space="preserve"> January 2017 the previous three main subsidiaries of NBAB, </w:t>
            </w:r>
            <w:r w:rsidRPr="00293B1F">
              <w:t>Nordea Bank Danmark A/S in Denmark, N</w:t>
            </w:r>
            <w:r>
              <w:t xml:space="preserve">BF </w:t>
            </w:r>
            <w:r w:rsidRPr="00293B1F">
              <w:t>in Finland and Nordea Bank Norge ASA in Norway</w:t>
            </w:r>
            <w:r>
              <w:t xml:space="preserve"> were merged into, and became branches of, NBAB. NBF has therefore ceased to be an issuer under the Programme.</w:t>
            </w:r>
            <w:r>
              <w:rPr>
                <w:rStyle w:val="FootnoteReference"/>
              </w:rPr>
              <w:footnoteReference w:id="4"/>
            </w:r>
            <w:r>
              <w:t xml:space="preserve"> </w:t>
            </w:r>
          </w:p>
        </w:tc>
      </w:tr>
      <w:tr w:rsidTr="00C82020">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p>
        </w:tc>
        <w:tc>
          <w:tcPr>
            <w:tcW w:w="3819"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pPr>
            <w:r w:rsidRPr="00293B1F">
              <w:t xml:space="preserve">As of </w:t>
            </w:r>
            <w:r>
              <w:t>30 September 2016</w:t>
            </w:r>
            <w:r w:rsidRPr="00293B1F">
              <w:t>, the Nordea G</w:t>
            </w:r>
            <w:r>
              <w:t>roup had total assets of EUR 657</w:t>
            </w:r>
            <w:r w:rsidRPr="00293B1F">
              <w:t xml:space="preserve"> billio</w:t>
            </w:r>
            <w:r>
              <w:t>n and tier 1 capital of EUR 27.4</w:t>
            </w:r>
            <w:r w:rsidRPr="00293B1F">
              <w:t xml:space="preserve"> billion, and was the largest Nordic-</w:t>
            </w:r>
            <w:r>
              <w:t>based asset manager with EUR 317.4</w:t>
            </w:r>
            <w:r w:rsidRPr="00293B1F">
              <w:t xml:space="preserve"> billion in assets under management.</w:t>
            </w:r>
            <w:r>
              <w:rPr>
                <w:rStyle w:val="FootnoteReference"/>
              </w:rPr>
              <w:footnoteReference w:id="5"/>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B.9</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r w:rsidRPr="00293B1F">
              <w:rPr>
                <w:b/>
                <w:bCs/>
              </w:rPr>
              <w:t>Profit Forecasts and Profit Estimates:</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314D55">
            <w:pPr>
              <w:pStyle w:val="BodyText"/>
            </w:pPr>
            <w:r w:rsidRPr="00293B1F">
              <w:t>Not Applicable. The Issuer do</w:t>
            </w:r>
            <w:r w:rsidR="00F3587A">
              <w:t>es</w:t>
            </w:r>
            <w:r w:rsidRPr="00293B1F">
              <w:t xml:space="preserve"> not make a profit forecast or profit estimate in the Base Prospectus</w:t>
            </w:r>
            <w:r>
              <w:rPr>
                <w:rStyle w:val="FootnoteReference"/>
              </w:rPr>
              <w:footnoteReference w:id="6"/>
            </w:r>
            <w:r w:rsidRPr="00293B1F">
              <w:t>.</w:t>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B.10</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r w:rsidRPr="00293B1F">
              <w:rPr>
                <w:b/>
                <w:bCs/>
              </w:rPr>
              <w:t xml:space="preserve">Audit Report Qualifications: </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735241">
            <w:pPr>
              <w:pStyle w:val="BodyText"/>
            </w:pPr>
            <w:r w:rsidRPr="00293B1F">
              <w:t>Not Applicable.  There are no qualifications in the audit reports for the Issuer</w:t>
            </w:r>
            <w:r w:rsidR="00735241">
              <w:rPr>
                <w:vertAlign w:val="superscript"/>
              </w:rPr>
              <w:t>5</w:t>
            </w:r>
            <w:r w:rsidRPr="00293B1F">
              <w:t>.</w:t>
            </w:r>
          </w:p>
        </w:tc>
      </w:tr>
      <w:tr w:rsidTr="0058649F">
        <w:tblPrEx>
          <w:tblW w:w="5000" w:type="pct"/>
          <w:tblLayout w:type="fixed"/>
          <w:tblLook w:val="0000"/>
        </w:tblPrEx>
        <w:trPr>
          <w:cantSplit/>
        </w:trPr>
        <w:tc>
          <w:tcPr>
            <w:tcW w:w="387" w:type="pct"/>
            <w:tcBorders>
              <w:top w:val="single" w:sz="4" w:space="0" w:color="auto"/>
              <w:left w:val="single" w:sz="4" w:space="0" w:color="auto"/>
              <w:right w:val="single" w:sz="4" w:space="0" w:color="auto"/>
            </w:tcBorders>
          </w:tcPr>
          <w:p w:rsidR="00BC0214" w:rsidRPr="00293B1F" w:rsidP="00F3587A">
            <w:pPr>
              <w:pStyle w:val="BodyText"/>
              <w:keepNext/>
              <w:rPr>
                <w:b/>
                <w:bCs/>
              </w:rPr>
            </w:pPr>
            <w:r w:rsidRPr="00293B1F">
              <w:rPr>
                <w:b/>
                <w:bCs/>
              </w:rPr>
              <w:t>B.12</w:t>
            </w:r>
          </w:p>
        </w:tc>
        <w:tc>
          <w:tcPr>
            <w:tcW w:w="794" w:type="pct"/>
            <w:tcBorders>
              <w:top w:val="single" w:sz="4" w:space="0" w:color="auto"/>
              <w:left w:val="single" w:sz="4" w:space="0" w:color="auto"/>
              <w:right w:val="single" w:sz="4" w:space="0" w:color="auto"/>
            </w:tcBorders>
          </w:tcPr>
          <w:p w:rsidR="00BC0214" w:rsidRPr="00293B1F" w:rsidP="00F3587A">
            <w:pPr>
              <w:pStyle w:val="Tablerow"/>
              <w:tabs>
                <w:tab w:val="right" w:leader="dot" w:pos="4115"/>
                <w:tab w:val="clear" w:pos="6300"/>
              </w:tabs>
              <w:rPr>
                <w:b/>
                <w:sz w:val="20"/>
                <w:szCs w:val="20"/>
              </w:rPr>
            </w:pPr>
            <w:r w:rsidRPr="00293B1F">
              <w:rPr>
                <w:b/>
                <w:sz w:val="20"/>
                <w:szCs w:val="20"/>
              </w:rPr>
              <w:t>Selected Key Financial Information:</w:t>
            </w:r>
          </w:p>
        </w:tc>
        <w:tc>
          <w:tcPr>
            <w:tcW w:w="3819" w:type="pct"/>
            <w:tcBorders>
              <w:top w:val="single" w:sz="4" w:space="0" w:color="auto"/>
              <w:left w:val="single" w:sz="4" w:space="0" w:color="auto"/>
              <w:right w:val="single" w:sz="4" w:space="0" w:color="auto"/>
            </w:tcBorders>
          </w:tcPr>
          <w:p w:rsidR="00BC0214" w:rsidRPr="00293B1F" w:rsidP="005A5DB0">
            <w:pPr>
              <w:pStyle w:val="BodyText"/>
            </w:pPr>
            <w:r>
              <w:t>The table</w:t>
            </w:r>
            <w:r w:rsidRPr="00293B1F">
              <w:t xml:space="preserve"> below show</w:t>
            </w:r>
            <w:r>
              <w:t>s</w:t>
            </w:r>
            <w:r w:rsidRPr="00293B1F">
              <w:t xml:space="preserve"> certain selected summarised financial information which, without material changes, is derived from, and must be </w:t>
            </w:r>
            <w:r>
              <w:t>read together with, the Issuer's</w:t>
            </w:r>
            <w:r w:rsidRPr="00293B1F">
              <w:t xml:space="preserve"> audited consolidated financial statements for the year ending 31 December 2015 and the auditor's report and notes thereto set out in the An</w:t>
            </w:r>
            <w:r>
              <w:t>nex to th</w:t>
            </w:r>
            <w:r w:rsidR="002F393C">
              <w:t>e</w:t>
            </w:r>
            <w:r>
              <w:t xml:space="preserve"> Base Prospectus and the Issuer</w:t>
            </w:r>
            <w:r>
              <w:t>'</w:t>
            </w:r>
            <w:r>
              <w:t>s</w:t>
            </w:r>
            <w:r w:rsidRPr="00293B1F">
              <w:t xml:space="preserve"> unaudited consolidated financial statements for </w:t>
            </w:r>
            <w:r>
              <w:t>the nine months ended 30 September 2016 set out in the Annex to</w:t>
            </w:r>
            <w:r w:rsidR="004D590E">
              <w:t xml:space="preserve"> the</w:t>
            </w:r>
            <w:r>
              <w:t xml:space="preserve"> </w:t>
            </w:r>
            <w:r w:rsidR="004D590E">
              <w:t>supplement dated 7 November 2016</w:t>
            </w:r>
            <w:r w:rsidRPr="00293B1F">
              <w:t>.</w:t>
            </w:r>
            <w:r>
              <w:rPr>
                <w:vertAlign w:val="superscript"/>
              </w:rPr>
              <w:footnoteReference w:id="7"/>
            </w:r>
          </w:p>
          <w:p w:rsidR="00BC0214" w:rsidRPr="00293B1F" w:rsidP="004D590E">
            <w:pPr>
              <w:pStyle w:val="BodyText"/>
            </w:pPr>
            <w:r w:rsidRPr="00293B1F">
              <w:t>NBAB Group selected key financial information:</w:t>
            </w:r>
          </w:p>
        </w:tc>
      </w:tr>
      <w:tr w:rsidTr="0058649F">
        <w:tblPrEx>
          <w:tblW w:w="5000" w:type="pct"/>
          <w:tblLayout w:type="fixed"/>
          <w:tblLook w:val="0000"/>
        </w:tblPrEx>
        <w:trPr>
          <w:cantSplit/>
          <w:trHeight w:val="4731"/>
        </w:trPr>
        <w:tc>
          <w:tcPr>
            <w:tcW w:w="387" w:type="pct"/>
            <w:tcBorders>
              <w:left w:val="single" w:sz="4" w:space="0" w:color="auto"/>
              <w:bottom w:val="single" w:sz="4" w:space="0" w:color="auto"/>
              <w:right w:val="single" w:sz="4" w:space="0" w:color="auto"/>
            </w:tcBorders>
          </w:tcPr>
          <w:p w:rsidR="00BC0214" w:rsidRPr="00293B1F" w:rsidP="00F3587A">
            <w:pPr>
              <w:pStyle w:val="BodyText"/>
              <w:rPr>
                <w:b/>
                <w:bCs/>
              </w:rPr>
            </w:pPr>
          </w:p>
        </w:tc>
        <w:tc>
          <w:tcPr>
            <w:tcW w:w="794" w:type="pct"/>
            <w:tcBorders>
              <w:left w:val="single" w:sz="4" w:space="0" w:color="auto"/>
              <w:bottom w:val="single" w:sz="4" w:space="0" w:color="auto"/>
              <w:right w:val="single" w:sz="4" w:space="0" w:color="auto"/>
            </w:tcBorders>
          </w:tcPr>
          <w:p w:rsidR="00BC0214" w:rsidRPr="00293B1F" w:rsidP="00F3587A">
            <w:pPr>
              <w:pStyle w:val="Tablerow"/>
              <w:keepNext w:val="0"/>
              <w:tabs>
                <w:tab w:val="right" w:leader="dot" w:pos="4115"/>
                <w:tab w:val="clear" w:pos="6300"/>
              </w:tabs>
              <w:rPr>
                <w:b/>
                <w:sz w:val="20"/>
                <w:szCs w:val="20"/>
              </w:rPr>
            </w:pPr>
          </w:p>
        </w:tc>
        <w:tc>
          <w:tcPr>
            <w:tcW w:w="3819" w:type="pct"/>
            <w:tcBorders>
              <w:left w:val="single" w:sz="4" w:space="0" w:color="auto"/>
              <w:bottom w:val="single" w:sz="4" w:space="0" w:color="auto"/>
              <w:right w:val="single" w:sz="4" w:space="0" w:color="auto"/>
            </w:tcBorders>
          </w:tcPr>
          <w:tbl>
            <w:tblPr>
              <w:tblW w:w="6557" w:type="dxa"/>
              <w:tblLayout w:type="fixed"/>
              <w:tblLook w:val="04A0"/>
            </w:tblPr>
            <w:tblGrid>
              <w:gridCol w:w="3164"/>
              <w:gridCol w:w="830"/>
              <w:gridCol w:w="824"/>
              <w:gridCol w:w="841"/>
              <w:gridCol w:w="898"/>
            </w:tblGrid>
            <w:tr w:rsidTr="0058649F">
              <w:tblPrEx>
                <w:tblW w:w="6557" w:type="dxa"/>
                <w:tblLayout w:type="fixed"/>
                <w:tblLook w:val="04A0"/>
              </w:tblPrEx>
              <w:trPr>
                <w:tblHeader/>
              </w:trPr>
              <w:tc>
                <w:tcPr>
                  <w:tcW w:w="2413" w:type="pct"/>
                  <w:shd w:val="clear" w:color="auto" w:fill="auto"/>
                  <w:vAlign w:val="bottom"/>
                </w:tcPr>
                <w:p w:rsidR="00BC0214" w:rsidRPr="00DE5522" w:rsidP="00F3587A">
                  <w:pPr>
                    <w:pStyle w:val="BodyText"/>
                    <w:spacing w:after="0"/>
                    <w:rPr>
                      <w:b/>
                      <w:bCs/>
                      <w:sz w:val="16"/>
                      <w:szCs w:val="16"/>
                    </w:rPr>
                  </w:pPr>
                </w:p>
              </w:tc>
              <w:tc>
                <w:tcPr>
                  <w:tcW w:w="1261" w:type="pct"/>
                  <w:gridSpan w:val="2"/>
                  <w:vAlign w:val="bottom"/>
                </w:tcPr>
                <w:p w:rsidR="00BC0214" w:rsidRPr="00971178" w:rsidP="00971178">
                  <w:pPr>
                    <w:pStyle w:val="Tableheaderrow"/>
                    <w:pBdr>
                      <w:bottom w:val="single" w:sz="4" w:space="1" w:color="auto"/>
                    </w:pBdr>
                    <w:rPr>
                      <w:szCs w:val="16"/>
                    </w:rPr>
                  </w:pPr>
                  <w:r w:rsidRPr="00971178">
                    <w:rPr>
                      <w:szCs w:val="16"/>
                    </w:rPr>
                    <w:t>Year ended</w:t>
                  </w:r>
                  <w:r w:rsidRPr="00971178">
                    <w:rPr>
                      <w:szCs w:val="16"/>
                    </w:rPr>
                    <w:br/>
                    <w:t>31 December</w:t>
                  </w:r>
                </w:p>
              </w:tc>
              <w:tc>
                <w:tcPr>
                  <w:tcW w:w="1326" w:type="pct"/>
                  <w:gridSpan w:val="2"/>
                </w:tcPr>
                <w:p w:rsidR="00BC0214" w:rsidRPr="00971178" w:rsidP="00971178">
                  <w:pPr>
                    <w:pStyle w:val="Tableheaderrow"/>
                    <w:pBdr>
                      <w:bottom w:val="single" w:sz="4" w:space="1" w:color="auto"/>
                    </w:pBdr>
                    <w:rPr>
                      <w:szCs w:val="16"/>
                    </w:rPr>
                  </w:pPr>
                  <w:r w:rsidRPr="00971178">
                    <w:rPr>
                      <w:szCs w:val="16"/>
                    </w:rPr>
                    <w:t xml:space="preserve">Nine months ended </w:t>
                  </w:r>
                  <w:r w:rsidRPr="00971178">
                    <w:rPr>
                      <w:szCs w:val="16"/>
                    </w:rPr>
                    <w:br/>
                    <w:t>30 September</w:t>
                  </w:r>
                </w:p>
              </w:tc>
            </w:tr>
            <w:tr w:rsidTr="0058649F">
              <w:tblPrEx>
                <w:tblW w:w="6557" w:type="dxa"/>
                <w:tblLayout w:type="fixed"/>
                <w:tblLook w:val="04A0"/>
              </w:tblPrEx>
              <w:trPr>
                <w:tblHeader/>
              </w:trPr>
              <w:tc>
                <w:tcPr>
                  <w:tcW w:w="2413" w:type="pct"/>
                  <w:shd w:val="clear" w:color="auto" w:fill="auto"/>
                  <w:vAlign w:val="bottom"/>
                </w:tcPr>
                <w:p w:rsidR="00BC0214" w:rsidRPr="00DE5522" w:rsidP="00F3587A">
                  <w:pPr>
                    <w:pStyle w:val="BodyText"/>
                    <w:spacing w:after="0"/>
                    <w:rPr>
                      <w:b/>
                      <w:bCs/>
                      <w:sz w:val="16"/>
                      <w:szCs w:val="16"/>
                    </w:rPr>
                  </w:pPr>
                </w:p>
              </w:tc>
              <w:tc>
                <w:tcPr>
                  <w:tcW w:w="633" w:type="pct"/>
                  <w:vAlign w:val="bottom"/>
                </w:tcPr>
                <w:p w:rsidR="00BC0214" w:rsidRPr="00971178" w:rsidP="00971178">
                  <w:pPr>
                    <w:pStyle w:val="Tableheaderrow"/>
                    <w:keepNext w:val="0"/>
                    <w:pBdr>
                      <w:bottom w:val="single" w:sz="4" w:space="1" w:color="auto"/>
                    </w:pBdr>
                    <w:tabs>
                      <w:tab w:val="clear" w:pos="4140"/>
                    </w:tabs>
                    <w:spacing w:after="120"/>
                    <w:rPr>
                      <w:rFonts w:ascii="Times New Roman" w:hAnsi="Times New Roman"/>
                      <w:bCs w:val="0"/>
                      <w:szCs w:val="16"/>
                    </w:rPr>
                  </w:pPr>
                  <w:r w:rsidRPr="00971178">
                    <w:rPr>
                      <w:rFonts w:ascii="Times New Roman" w:hAnsi="Times New Roman" w:hint="eastAsia"/>
                      <w:bCs w:val="0"/>
                      <w:szCs w:val="16"/>
                    </w:rPr>
                    <w:t>201</w:t>
                  </w:r>
                  <w:r w:rsidRPr="00971178">
                    <w:rPr>
                      <w:rFonts w:ascii="Times New Roman" w:hAnsi="Times New Roman"/>
                      <w:bCs w:val="0"/>
                      <w:szCs w:val="16"/>
                    </w:rPr>
                    <w:t>5</w:t>
                  </w:r>
                </w:p>
              </w:tc>
              <w:tc>
                <w:tcPr>
                  <w:tcW w:w="628" w:type="pct"/>
                  <w:shd w:val="clear" w:color="auto" w:fill="auto"/>
                  <w:vAlign w:val="bottom"/>
                </w:tcPr>
                <w:p w:rsidR="00BC0214" w:rsidRPr="00971178" w:rsidP="00971178">
                  <w:pPr>
                    <w:pStyle w:val="Tableheaderrow"/>
                    <w:keepNext w:val="0"/>
                    <w:pBdr>
                      <w:bottom w:val="single" w:sz="4" w:space="1" w:color="auto"/>
                    </w:pBdr>
                    <w:tabs>
                      <w:tab w:val="clear" w:pos="4140"/>
                    </w:tabs>
                    <w:spacing w:after="120"/>
                    <w:rPr>
                      <w:rFonts w:ascii="Times New Roman" w:hAnsi="Times New Roman"/>
                      <w:bCs w:val="0"/>
                      <w:szCs w:val="16"/>
                    </w:rPr>
                  </w:pPr>
                  <w:r w:rsidRPr="00971178">
                    <w:rPr>
                      <w:rFonts w:ascii="Times New Roman" w:hAnsi="Times New Roman" w:hint="eastAsia"/>
                      <w:bCs w:val="0"/>
                      <w:szCs w:val="16"/>
                    </w:rPr>
                    <w:t>201</w:t>
                  </w:r>
                  <w:r w:rsidRPr="00971178">
                    <w:rPr>
                      <w:rFonts w:ascii="Times New Roman" w:hAnsi="Times New Roman"/>
                      <w:bCs w:val="0"/>
                      <w:szCs w:val="16"/>
                    </w:rPr>
                    <w:t>4</w:t>
                  </w:r>
                </w:p>
              </w:tc>
              <w:tc>
                <w:tcPr>
                  <w:tcW w:w="641" w:type="pct"/>
                  <w:vAlign w:val="bottom"/>
                </w:tcPr>
                <w:p w:rsidR="00BC0214" w:rsidRPr="00971178" w:rsidP="00971178">
                  <w:pPr>
                    <w:pStyle w:val="Tableheaderrow"/>
                    <w:keepNext w:val="0"/>
                    <w:pBdr>
                      <w:bottom w:val="single" w:sz="4" w:space="1" w:color="auto"/>
                    </w:pBdr>
                    <w:tabs>
                      <w:tab w:val="clear" w:pos="4140"/>
                    </w:tabs>
                    <w:spacing w:after="120"/>
                    <w:rPr>
                      <w:rFonts w:ascii="Times New Roman" w:hAnsi="Times New Roman"/>
                      <w:bCs w:val="0"/>
                      <w:szCs w:val="16"/>
                    </w:rPr>
                  </w:pPr>
                  <w:r w:rsidRPr="00971178">
                    <w:rPr>
                      <w:rFonts w:ascii="Times New Roman" w:hAnsi="Times New Roman" w:hint="eastAsia"/>
                      <w:bCs w:val="0"/>
                      <w:szCs w:val="16"/>
                    </w:rPr>
                    <w:t>201</w:t>
                  </w:r>
                  <w:r w:rsidRPr="00971178">
                    <w:rPr>
                      <w:rFonts w:ascii="Times New Roman" w:hAnsi="Times New Roman"/>
                      <w:bCs w:val="0"/>
                      <w:szCs w:val="16"/>
                    </w:rPr>
                    <w:t>6</w:t>
                  </w:r>
                </w:p>
              </w:tc>
              <w:tc>
                <w:tcPr>
                  <w:tcW w:w="685" w:type="pct"/>
                  <w:vAlign w:val="bottom"/>
                </w:tcPr>
                <w:p w:rsidR="00BC0214" w:rsidRPr="00971178" w:rsidP="00971178">
                  <w:pPr>
                    <w:pStyle w:val="Tableheaderrow"/>
                    <w:keepNext w:val="0"/>
                    <w:pBdr>
                      <w:bottom w:val="single" w:sz="4" w:space="1" w:color="auto"/>
                    </w:pBdr>
                    <w:tabs>
                      <w:tab w:val="clear" w:pos="4140"/>
                    </w:tabs>
                    <w:spacing w:after="120"/>
                    <w:rPr>
                      <w:rFonts w:ascii="Times New Roman" w:hAnsi="Times New Roman"/>
                      <w:bCs w:val="0"/>
                      <w:szCs w:val="16"/>
                    </w:rPr>
                  </w:pPr>
                  <w:r w:rsidRPr="00971178">
                    <w:rPr>
                      <w:rFonts w:ascii="Times New Roman" w:hAnsi="Times New Roman" w:hint="eastAsia"/>
                      <w:bCs w:val="0"/>
                      <w:szCs w:val="16"/>
                    </w:rPr>
                    <w:t>201</w:t>
                  </w:r>
                  <w:r w:rsidRPr="00971178">
                    <w:rPr>
                      <w:rFonts w:ascii="Times New Roman" w:hAnsi="Times New Roman"/>
                      <w:bCs w:val="0"/>
                      <w:szCs w:val="16"/>
                    </w:rPr>
                    <w:t>5</w:t>
                  </w:r>
                </w:p>
              </w:tc>
            </w:tr>
            <w:tr w:rsidTr="0058649F">
              <w:tblPrEx>
                <w:tblW w:w="6557" w:type="dxa"/>
                <w:tblLayout w:type="fixed"/>
                <w:tblLook w:val="04A0"/>
              </w:tblPrEx>
              <w:tc>
                <w:tcPr>
                  <w:tcW w:w="2413" w:type="pct"/>
                  <w:shd w:val="clear" w:color="auto" w:fill="auto"/>
                  <w:vAlign w:val="bottom"/>
                </w:tcPr>
                <w:p w:rsidR="00BC0214" w:rsidRPr="00DE5522" w:rsidP="00F3587A">
                  <w:pPr>
                    <w:pStyle w:val="BodyText"/>
                    <w:spacing w:after="0"/>
                    <w:rPr>
                      <w:sz w:val="16"/>
                      <w:szCs w:val="16"/>
                    </w:rPr>
                  </w:pPr>
                </w:p>
              </w:tc>
              <w:tc>
                <w:tcPr>
                  <w:tcW w:w="2587" w:type="pct"/>
                  <w:gridSpan w:val="4"/>
                  <w:shd w:val="clear" w:color="auto" w:fill="auto"/>
                  <w:vAlign w:val="bottom"/>
                </w:tcPr>
                <w:p w:rsidR="00BC0214" w:rsidRPr="00971178" w:rsidP="00971178">
                  <w:pPr>
                    <w:pStyle w:val="Tableheaderrowitalic"/>
                    <w:keepNext w:val="0"/>
                    <w:tabs>
                      <w:tab w:val="clear" w:pos="5291"/>
                    </w:tabs>
                    <w:spacing w:after="120"/>
                    <w:rPr>
                      <w:bCs w:val="0"/>
                      <w:szCs w:val="16"/>
                    </w:rPr>
                  </w:pPr>
                  <w:r w:rsidRPr="00971178">
                    <w:rPr>
                      <w:bCs w:val="0"/>
                      <w:szCs w:val="16"/>
                    </w:rPr>
                    <w:t>(EUR millions)</w:t>
                  </w:r>
                </w:p>
              </w:tc>
            </w:tr>
            <w:tr w:rsidTr="0058649F">
              <w:tblPrEx>
                <w:tblW w:w="6557" w:type="dxa"/>
                <w:tblLayout w:type="fixed"/>
                <w:tblLook w:val="04A0"/>
              </w:tblPrEx>
              <w:tc>
                <w:tcPr>
                  <w:tcW w:w="2413" w:type="pct"/>
                  <w:shd w:val="clear" w:color="auto" w:fill="auto"/>
                  <w:vAlign w:val="bottom"/>
                </w:tcPr>
                <w:p w:rsidR="00BC0214" w:rsidRPr="00DE5522" w:rsidP="005F67C1">
                  <w:pPr>
                    <w:pStyle w:val="TableMiddleRows"/>
                    <w:keepNext w:val="0"/>
                    <w:tabs>
                      <w:tab w:val="clear" w:pos="4140"/>
                      <w:tab w:val="right" w:leader="dot" w:pos="5359"/>
                    </w:tabs>
                    <w:rPr>
                      <w:b/>
                      <w:bCs/>
                      <w:szCs w:val="16"/>
                    </w:rPr>
                  </w:pPr>
                  <w:r w:rsidRPr="00DE5522">
                    <w:rPr>
                      <w:b/>
                      <w:bCs/>
                      <w:szCs w:val="16"/>
                    </w:rPr>
                    <w:t>Income Statement</w:t>
                  </w:r>
                </w:p>
              </w:tc>
              <w:tc>
                <w:tcPr>
                  <w:tcW w:w="633" w:type="pct"/>
                  <w:vAlign w:val="center"/>
                </w:tcPr>
                <w:p w:rsidR="00BC0214" w:rsidRPr="00DE5522" w:rsidP="00F3587A">
                  <w:pPr>
                    <w:pStyle w:val="BodyText"/>
                    <w:spacing w:after="0"/>
                    <w:rPr>
                      <w:iCs/>
                      <w:sz w:val="16"/>
                      <w:szCs w:val="16"/>
                    </w:rPr>
                  </w:pPr>
                </w:p>
              </w:tc>
              <w:tc>
                <w:tcPr>
                  <w:tcW w:w="628" w:type="pct"/>
                  <w:vAlign w:val="center"/>
                </w:tcPr>
                <w:p w:rsidR="00BC0214" w:rsidRPr="00DE5522" w:rsidP="00F3587A">
                  <w:pPr>
                    <w:pStyle w:val="BodyText"/>
                    <w:spacing w:after="0"/>
                    <w:rPr>
                      <w:iCs/>
                      <w:sz w:val="16"/>
                      <w:szCs w:val="16"/>
                    </w:rPr>
                  </w:pPr>
                </w:p>
              </w:tc>
              <w:tc>
                <w:tcPr>
                  <w:tcW w:w="641" w:type="pct"/>
                </w:tcPr>
                <w:p w:rsidR="00BC0214" w:rsidRPr="00DE5522" w:rsidP="00F3587A">
                  <w:pPr>
                    <w:pStyle w:val="BodyText"/>
                    <w:spacing w:after="0"/>
                    <w:rPr>
                      <w:iCs/>
                      <w:sz w:val="16"/>
                      <w:szCs w:val="16"/>
                    </w:rPr>
                  </w:pPr>
                </w:p>
              </w:tc>
              <w:tc>
                <w:tcPr>
                  <w:tcW w:w="685" w:type="pct"/>
                </w:tcPr>
                <w:p w:rsidR="00BC0214" w:rsidRPr="00DE5522" w:rsidP="00F3587A">
                  <w:pPr>
                    <w:pStyle w:val="BodyText"/>
                    <w:spacing w:after="0"/>
                    <w:rPr>
                      <w:iCs/>
                      <w:sz w:val="16"/>
                      <w:szCs w:val="16"/>
                    </w:rPr>
                  </w:pPr>
                </w:p>
              </w:tc>
            </w:tr>
            <w:tr w:rsidTr="0058649F">
              <w:tblPrEx>
                <w:tblW w:w="6557" w:type="dxa"/>
                <w:tblLayout w:type="fixed"/>
                <w:tblLook w:val="04A0"/>
              </w:tblPrEx>
              <w:tc>
                <w:tcPr>
                  <w:tcW w:w="2413" w:type="pct"/>
                  <w:shd w:val="clear" w:color="auto" w:fill="auto"/>
                  <w:vAlign w:val="bottom"/>
                </w:tcPr>
                <w:p w:rsidR="00BC0214" w:rsidRPr="00117E70" w:rsidP="005F67C1">
                  <w:pPr>
                    <w:pStyle w:val="TableMiddleRows"/>
                    <w:keepNext w:val="0"/>
                    <w:tabs>
                      <w:tab w:val="right" w:leader="dot" w:pos="3337"/>
                      <w:tab w:val="clear" w:pos="4140"/>
                    </w:tabs>
                    <w:rPr>
                      <w:szCs w:val="16"/>
                    </w:rPr>
                  </w:pPr>
                  <w:r w:rsidRPr="00117E70">
                    <w:rPr>
                      <w:szCs w:val="16"/>
                    </w:rPr>
                    <w:t>Total operating income</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10,140</w:t>
                  </w:r>
                </w:p>
              </w:tc>
              <w:tc>
                <w:tcPr>
                  <w:tcW w:w="628" w:type="pct"/>
                  <w:shd w:val="clear" w:color="auto" w:fill="auto"/>
                  <w:vAlign w:val="bottom"/>
                </w:tcPr>
                <w:p w:rsidR="00BC0214" w:rsidRPr="00117E70" w:rsidP="0024229D">
                  <w:pPr>
                    <w:pStyle w:val="TableMiddleRows"/>
                    <w:keepNext w:val="0"/>
                    <w:tabs>
                      <w:tab w:val="clear" w:pos="4140"/>
                    </w:tabs>
                    <w:jc w:val="right"/>
                    <w:rPr>
                      <w:szCs w:val="16"/>
                    </w:rPr>
                  </w:pPr>
                  <w:r w:rsidRPr="00117E70">
                    <w:rPr>
                      <w:szCs w:val="16"/>
                    </w:rPr>
                    <w:t>10,241</w:t>
                  </w:r>
                </w:p>
              </w:tc>
              <w:tc>
                <w:tcPr>
                  <w:tcW w:w="641" w:type="pct"/>
                  <w:vAlign w:val="bottom"/>
                </w:tcPr>
                <w:p w:rsidR="00BC0214" w:rsidRPr="00117E70" w:rsidP="0024229D">
                  <w:pPr>
                    <w:pStyle w:val="TableMiddleRows"/>
                    <w:keepNext w:val="0"/>
                    <w:tabs>
                      <w:tab w:val="clear" w:pos="4140"/>
                    </w:tabs>
                    <w:jc w:val="right"/>
                    <w:rPr>
                      <w:szCs w:val="16"/>
                    </w:rPr>
                  </w:pPr>
                  <w:r>
                    <w:rPr>
                      <w:szCs w:val="16"/>
                    </w:rPr>
                    <w:t>7,317</w:t>
                  </w:r>
                </w:p>
              </w:tc>
              <w:tc>
                <w:tcPr>
                  <w:tcW w:w="685" w:type="pct"/>
                  <w:vAlign w:val="bottom"/>
                </w:tcPr>
                <w:p w:rsidR="00BC0214" w:rsidRPr="00117E70" w:rsidP="0024229D">
                  <w:pPr>
                    <w:pStyle w:val="TableMiddleRows"/>
                    <w:keepNext w:val="0"/>
                    <w:tabs>
                      <w:tab w:val="clear" w:pos="4140"/>
                    </w:tabs>
                    <w:jc w:val="right"/>
                    <w:rPr>
                      <w:szCs w:val="16"/>
                    </w:rPr>
                  </w:pPr>
                  <w:r>
                    <w:rPr>
                      <w:szCs w:val="16"/>
                    </w:rPr>
                    <w:t>7,495</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Net loan losses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-479</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-534</w:t>
                  </w:r>
                </w:p>
              </w:tc>
              <w:tc>
                <w:tcPr>
                  <w:tcW w:w="641" w:type="pct"/>
                  <w:vAlign w:val="bottom"/>
                </w:tcPr>
                <w:p w:rsidR="00BC0214" w:rsidRPr="00117E70" w:rsidP="0024229D">
                  <w:pPr>
                    <w:pStyle w:val="TableMiddleRows"/>
                    <w:keepNext w:val="0"/>
                    <w:tabs>
                      <w:tab w:val="clear" w:pos="4140"/>
                    </w:tabs>
                    <w:jc w:val="right"/>
                    <w:rPr>
                      <w:szCs w:val="16"/>
                    </w:rPr>
                  </w:pPr>
                  <w:r w:rsidRPr="00117E70">
                    <w:rPr>
                      <w:szCs w:val="16"/>
                    </w:rPr>
                    <w:t>-</w:t>
                  </w:r>
                  <w:r>
                    <w:rPr>
                      <w:szCs w:val="16"/>
                    </w:rPr>
                    <w:t>373</w:t>
                  </w:r>
                </w:p>
              </w:tc>
              <w:tc>
                <w:tcPr>
                  <w:tcW w:w="685" w:type="pct"/>
                  <w:vAlign w:val="bottom"/>
                </w:tcPr>
                <w:p w:rsidR="00BC0214" w:rsidRPr="00117E70" w:rsidP="0024229D">
                  <w:pPr>
                    <w:pStyle w:val="TableMiddleRows"/>
                    <w:keepNext w:val="0"/>
                    <w:tabs>
                      <w:tab w:val="clear" w:pos="4140"/>
                    </w:tabs>
                    <w:jc w:val="right"/>
                    <w:rPr>
                      <w:szCs w:val="16"/>
                    </w:rPr>
                  </w:pPr>
                  <w:r w:rsidRPr="00117E70">
                    <w:rPr>
                      <w:szCs w:val="16"/>
                    </w:rPr>
                    <w:t>-</w:t>
                  </w:r>
                  <w:r>
                    <w:rPr>
                      <w:szCs w:val="16"/>
                    </w:rPr>
                    <w:t>337</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Net profit for the period</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3,662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3,332</w:t>
                  </w:r>
                </w:p>
              </w:tc>
              <w:tc>
                <w:tcPr>
                  <w:tcW w:w="641" w:type="pct"/>
                  <w:vAlign w:val="bottom"/>
                </w:tcPr>
                <w:p w:rsidR="00BC0214" w:rsidRPr="007A64B2" w:rsidP="0024229D">
                  <w:pPr>
                    <w:pStyle w:val="TableMiddleRows"/>
                    <w:keepNext w:val="0"/>
                    <w:tabs>
                      <w:tab w:val="clear" w:pos="4140"/>
                    </w:tabs>
                    <w:jc w:val="right"/>
                    <w:rPr>
                      <w:szCs w:val="16"/>
                    </w:rPr>
                  </w:pPr>
                  <w:r>
                    <w:rPr>
                      <w:szCs w:val="16"/>
                    </w:rPr>
                    <w:t>2,666</w:t>
                  </w:r>
                </w:p>
              </w:tc>
              <w:tc>
                <w:tcPr>
                  <w:tcW w:w="685" w:type="pct"/>
                  <w:vAlign w:val="bottom"/>
                </w:tcPr>
                <w:p w:rsidR="00BC0214" w:rsidRPr="007A64B2" w:rsidP="0024229D">
                  <w:pPr>
                    <w:pStyle w:val="TableMiddleRows"/>
                    <w:keepNext w:val="0"/>
                    <w:tabs>
                      <w:tab w:val="clear" w:pos="4140"/>
                    </w:tabs>
                    <w:jc w:val="right"/>
                    <w:rPr>
                      <w:szCs w:val="16"/>
                    </w:rPr>
                  </w:pPr>
                  <w:r>
                    <w:rPr>
                      <w:szCs w:val="16"/>
                    </w:rPr>
                    <w:t>2,814</w:t>
                  </w:r>
                </w:p>
              </w:tc>
            </w:tr>
            <w:tr w:rsidTr="0058649F">
              <w:tblPrEx>
                <w:tblW w:w="6557" w:type="dxa"/>
                <w:tblLayout w:type="fixed"/>
                <w:tblLook w:val="04A0"/>
              </w:tblPrEx>
              <w:tc>
                <w:tcPr>
                  <w:tcW w:w="2413" w:type="pct"/>
                  <w:shd w:val="clear" w:color="auto" w:fill="auto"/>
                  <w:vAlign w:val="bottom"/>
                </w:tcPr>
                <w:p w:rsidR="00BC0214" w:rsidRPr="00117E70" w:rsidP="00F3587A">
                  <w:pPr>
                    <w:pStyle w:val="BodyText"/>
                    <w:spacing w:after="0"/>
                    <w:rPr>
                      <w:b/>
                      <w:bCs/>
                      <w:sz w:val="16"/>
                      <w:szCs w:val="16"/>
                    </w:rPr>
                  </w:pPr>
                </w:p>
              </w:tc>
              <w:tc>
                <w:tcPr>
                  <w:tcW w:w="633" w:type="pct"/>
                  <w:vAlign w:val="bottom"/>
                </w:tcPr>
                <w:p w:rsidR="00BC0214" w:rsidRPr="00117E70" w:rsidP="0024229D">
                  <w:pPr>
                    <w:pStyle w:val="TableMiddleRows"/>
                    <w:keepNext w:val="0"/>
                    <w:tabs>
                      <w:tab w:val="clear" w:pos="4140"/>
                    </w:tabs>
                    <w:jc w:val="right"/>
                    <w:rPr>
                      <w:szCs w:val="16"/>
                    </w:rPr>
                  </w:pPr>
                </w:p>
              </w:tc>
              <w:tc>
                <w:tcPr>
                  <w:tcW w:w="628" w:type="pct"/>
                  <w:shd w:val="clear" w:color="auto" w:fill="auto"/>
                  <w:vAlign w:val="bottom"/>
                </w:tcPr>
                <w:p w:rsidR="00BC0214" w:rsidRPr="00117E70" w:rsidP="0024229D">
                  <w:pPr>
                    <w:pStyle w:val="TableMiddleRows"/>
                    <w:keepNext w:val="0"/>
                    <w:tabs>
                      <w:tab w:val="clear" w:pos="4140"/>
                    </w:tabs>
                    <w:jc w:val="right"/>
                    <w:rPr>
                      <w:szCs w:val="16"/>
                    </w:rPr>
                  </w:pPr>
                </w:p>
              </w:tc>
              <w:tc>
                <w:tcPr>
                  <w:tcW w:w="641" w:type="pct"/>
                  <w:vAlign w:val="bottom"/>
                </w:tcPr>
                <w:p w:rsidR="00BC0214" w:rsidRPr="00117E70" w:rsidP="0024229D">
                  <w:pPr>
                    <w:pStyle w:val="TableMiddleRows"/>
                    <w:keepNext w:val="0"/>
                    <w:tabs>
                      <w:tab w:val="clear" w:pos="4140"/>
                    </w:tabs>
                    <w:jc w:val="right"/>
                    <w:rPr>
                      <w:szCs w:val="16"/>
                    </w:rPr>
                  </w:pPr>
                </w:p>
              </w:tc>
              <w:tc>
                <w:tcPr>
                  <w:tcW w:w="685" w:type="pct"/>
                  <w:vAlign w:val="bottom"/>
                </w:tcPr>
                <w:p w:rsidR="00BC0214" w:rsidRPr="00117E70" w:rsidP="0024229D">
                  <w:pPr>
                    <w:pStyle w:val="TableMiddleRows"/>
                    <w:keepNext w:val="0"/>
                    <w:tabs>
                      <w:tab w:val="clear" w:pos="4140"/>
                    </w:tabs>
                    <w:jc w:val="right"/>
                    <w:rPr>
                      <w:szCs w:val="16"/>
                    </w:rPr>
                  </w:pP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b/>
                      <w:bCs/>
                      <w:szCs w:val="16"/>
                    </w:rPr>
                  </w:pPr>
                  <w:r w:rsidRPr="00117E70">
                    <w:rPr>
                      <w:b/>
                      <w:bCs/>
                      <w:szCs w:val="16"/>
                    </w:rPr>
                    <w:t>Balance Sheet</w:t>
                  </w:r>
                </w:p>
              </w:tc>
              <w:tc>
                <w:tcPr>
                  <w:tcW w:w="633" w:type="pct"/>
                  <w:vAlign w:val="bottom"/>
                </w:tcPr>
                <w:p w:rsidR="00BC0214" w:rsidRPr="00117E70" w:rsidP="0024229D">
                  <w:pPr>
                    <w:pStyle w:val="TableMiddleRows"/>
                    <w:keepNext w:val="0"/>
                    <w:tabs>
                      <w:tab w:val="clear" w:pos="4140"/>
                    </w:tabs>
                    <w:jc w:val="right"/>
                    <w:rPr>
                      <w:szCs w:val="16"/>
                    </w:rPr>
                  </w:pPr>
                </w:p>
              </w:tc>
              <w:tc>
                <w:tcPr>
                  <w:tcW w:w="628" w:type="pct"/>
                  <w:shd w:val="clear" w:color="auto" w:fill="auto"/>
                  <w:vAlign w:val="bottom"/>
                </w:tcPr>
                <w:p w:rsidR="00BC0214" w:rsidRPr="00117E70" w:rsidP="0024229D">
                  <w:pPr>
                    <w:pStyle w:val="TableMiddleRows"/>
                    <w:keepNext w:val="0"/>
                    <w:tabs>
                      <w:tab w:val="clear" w:pos="4140"/>
                    </w:tabs>
                    <w:jc w:val="right"/>
                    <w:rPr>
                      <w:szCs w:val="16"/>
                    </w:rPr>
                  </w:pPr>
                </w:p>
              </w:tc>
              <w:tc>
                <w:tcPr>
                  <w:tcW w:w="641" w:type="pct"/>
                  <w:vAlign w:val="bottom"/>
                </w:tcPr>
                <w:p w:rsidR="00BC0214" w:rsidRPr="00117E70" w:rsidP="0024229D">
                  <w:pPr>
                    <w:pStyle w:val="TableMiddleRows"/>
                    <w:keepNext w:val="0"/>
                    <w:tabs>
                      <w:tab w:val="clear" w:pos="4140"/>
                    </w:tabs>
                    <w:jc w:val="right"/>
                    <w:rPr>
                      <w:szCs w:val="16"/>
                    </w:rPr>
                  </w:pPr>
                </w:p>
              </w:tc>
              <w:tc>
                <w:tcPr>
                  <w:tcW w:w="685" w:type="pct"/>
                  <w:vAlign w:val="bottom"/>
                </w:tcPr>
                <w:p w:rsidR="00BC0214" w:rsidRPr="00117E70" w:rsidP="0024229D">
                  <w:pPr>
                    <w:pStyle w:val="TableMiddleRows"/>
                    <w:keepNext w:val="0"/>
                    <w:tabs>
                      <w:tab w:val="clear" w:pos="4140"/>
                    </w:tabs>
                    <w:jc w:val="right"/>
                    <w:rPr>
                      <w:szCs w:val="16"/>
                    </w:rPr>
                  </w:pP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Total assets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646,868</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669,342</w:t>
                  </w:r>
                </w:p>
              </w:tc>
              <w:tc>
                <w:tcPr>
                  <w:tcW w:w="641" w:type="pct"/>
                  <w:vAlign w:val="bottom"/>
                </w:tcPr>
                <w:p w:rsidR="00BC0214" w:rsidRPr="00117E70" w:rsidP="0024229D">
                  <w:pPr>
                    <w:pStyle w:val="TableMiddleRows"/>
                    <w:keepNext w:val="0"/>
                    <w:tabs>
                      <w:tab w:val="clear" w:pos="4140"/>
                    </w:tabs>
                    <w:jc w:val="right"/>
                    <w:rPr>
                      <w:szCs w:val="16"/>
                    </w:rPr>
                  </w:pPr>
                  <w:r>
                    <w:rPr>
                      <w:szCs w:val="16"/>
                    </w:rPr>
                    <w:t>657,190</w:t>
                  </w:r>
                </w:p>
              </w:tc>
              <w:tc>
                <w:tcPr>
                  <w:tcW w:w="685" w:type="pct"/>
                  <w:vAlign w:val="bottom"/>
                </w:tcPr>
                <w:p w:rsidR="00BC0214" w:rsidRPr="00117E70" w:rsidP="0024229D">
                  <w:pPr>
                    <w:pStyle w:val="TableMiddleRows"/>
                    <w:keepNext w:val="0"/>
                    <w:tabs>
                      <w:tab w:val="clear" w:pos="4140"/>
                    </w:tabs>
                    <w:jc w:val="right"/>
                    <w:rPr>
                      <w:szCs w:val="16"/>
                    </w:rPr>
                  </w:pPr>
                  <w:r>
                    <w:rPr>
                      <w:szCs w:val="16"/>
                    </w:rPr>
                    <w:t>679,877</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Total liabilities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615,836</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639,505</w:t>
                  </w:r>
                </w:p>
              </w:tc>
              <w:tc>
                <w:tcPr>
                  <w:tcW w:w="641" w:type="pct"/>
                  <w:vAlign w:val="bottom"/>
                </w:tcPr>
                <w:p w:rsidR="00BC0214" w:rsidRPr="00117E70" w:rsidP="0024229D">
                  <w:pPr>
                    <w:pStyle w:val="TableMiddleRows"/>
                    <w:keepNext w:val="0"/>
                    <w:tabs>
                      <w:tab w:val="clear" w:pos="4140"/>
                    </w:tabs>
                    <w:jc w:val="right"/>
                    <w:rPr>
                      <w:szCs w:val="16"/>
                    </w:rPr>
                  </w:pPr>
                  <w:r>
                    <w:rPr>
                      <w:szCs w:val="16"/>
                    </w:rPr>
                    <w:t>626,120</w:t>
                  </w:r>
                </w:p>
              </w:tc>
              <w:tc>
                <w:tcPr>
                  <w:tcW w:w="685" w:type="pct"/>
                  <w:vAlign w:val="bottom"/>
                </w:tcPr>
                <w:p w:rsidR="00BC0214" w:rsidRPr="00117E70" w:rsidP="0024229D">
                  <w:pPr>
                    <w:pStyle w:val="TableMiddleRows"/>
                    <w:keepNext w:val="0"/>
                    <w:tabs>
                      <w:tab w:val="clear" w:pos="4140"/>
                    </w:tabs>
                    <w:jc w:val="right"/>
                    <w:rPr>
                      <w:szCs w:val="16"/>
                    </w:rPr>
                  </w:pPr>
                  <w:r>
                    <w:rPr>
                      <w:szCs w:val="16"/>
                    </w:rPr>
                    <w:t>649,893</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Total equity</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31,032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29,837</w:t>
                  </w:r>
                </w:p>
              </w:tc>
              <w:tc>
                <w:tcPr>
                  <w:tcW w:w="641" w:type="pct"/>
                  <w:vAlign w:val="bottom"/>
                </w:tcPr>
                <w:p w:rsidR="00BC0214" w:rsidRPr="00117E70" w:rsidP="0024229D">
                  <w:pPr>
                    <w:pStyle w:val="TableMiddleRows"/>
                    <w:keepNext w:val="0"/>
                    <w:tabs>
                      <w:tab w:val="clear" w:pos="4140"/>
                    </w:tabs>
                    <w:jc w:val="right"/>
                    <w:rPr>
                      <w:szCs w:val="16"/>
                    </w:rPr>
                  </w:pPr>
                  <w:r>
                    <w:rPr>
                      <w:szCs w:val="16"/>
                    </w:rPr>
                    <w:t>31,070</w:t>
                  </w:r>
                </w:p>
              </w:tc>
              <w:tc>
                <w:tcPr>
                  <w:tcW w:w="685" w:type="pct"/>
                  <w:vAlign w:val="bottom"/>
                </w:tcPr>
                <w:p w:rsidR="00BC0214" w:rsidRPr="00117E70" w:rsidP="0024229D">
                  <w:pPr>
                    <w:pStyle w:val="TableMiddleRows"/>
                    <w:keepNext w:val="0"/>
                    <w:tabs>
                      <w:tab w:val="clear" w:pos="4140"/>
                    </w:tabs>
                    <w:jc w:val="right"/>
                    <w:rPr>
                      <w:szCs w:val="16"/>
                    </w:rPr>
                  </w:pPr>
                  <w:r>
                    <w:rPr>
                      <w:szCs w:val="16"/>
                    </w:rPr>
                    <w:t>29,984</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Total liabilities and equity</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646,868</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669,342</w:t>
                  </w:r>
                </w:p>
              </w:tc>
              <w:tc>
                <w:tcPr>
                  <w:tcW w:w="641" w:type="pct"/>
                  <w:vAlign w:val="bottom"/>
                </w:tcPr>
                <w:p w:rsidR="00BC0214" w:rsidRPr="00117E70" w:rsidP="0024229D">
                  <w:pPr>
                    <w:pStyle w:val="TableMiddleRows"/>
                    <w:keepNext w:val="0"/>
                    <w:tabs>
                      <w:tab w:val="clear" w:pos="4140"/>
                    </w:tabs>
                    <w:jc w:val="right"/>
                    <w:rPr>
                      <w:szCs w:val="16"/>
                    </w:rPr>
                  </w:pPr>
                  <w:r>
                    <w:rPr>
                      <w:szCs w:val="16"/>
                    </w:rPr>
                    <w:t>657,190</w:t>
                  </w:r>
                </w:p>
              </w:tc>
              <w:tc>
                <w:tcPr>
                  <w:tcW w:w="685" w:type="pct"/>
                  <w:vAlign w:val="bottom"/>
                </w:tcPr>
                <w:p w:rsidR="00BC0214" w:rsidRPr="00117E70" w:rsidP="0024229D">
                  <w:pPr>
                    <w:pStyle w:val="TableMiddleRows"/>
                    <w:keepNext w:val="0"/>
                    <w:tabs>
                      <w:tab w:val="clear" w:pos="4140"/>
                    </w:tabs>
                    <w:jc w:val="right"/>
                    <w:rPr>
                      <w:szCs w:val="16"/>
                    </w:rPr>
                  </w:pPr>
                  <w:r>
                    <w:rPr>
                      <w:szCs w:val="16"/>
                    </w:rPr>
                    <w:t>679,877</w:t>
                  </w:r>
                </w:p>
              </w:tc>
            </w:tr>
            <w:tr w:rsidTr="0058649F">
              <w:tblPrEx>
                <w:tblW w:w="6557" w:type="dxa"/>
                <w:tblLayout w:type="fixed"/>
                <w:tblLook w:val="04A0"/>
              </w:tblPrEx>
              <w:tc>
                <w:tcPr>
                  <w:tcW w:w="2413" w:type="pct"/>
                  <w:shd w:val="clear" w:color="auto" w:fill="auto"/>
                  <w:vAlign w:val="bottom"/>
                </w:tcPr>
                <w:p w:rsidR="00BC0214" w:rsidRPr="00117E70" w:rsidP="00F3587A">
                  <w:pPr>
                    <w:pStyle w:val="BodyText"/>
                    <w:spacing w:after="0"/>
                    <w:rPr>
                      <w:sz w:val="16"/>
                      <w:szCs w:val="16"/>
                    </w:rPr>
                  </w:pPr>
                </w:p>
              </w:tc>
              <w:tc>
                <w:tcPr>
                  <w:tcW w:w="633" w:type="pct"/>
                  <w:vAlign w:val="bottom"/>
                </w:tcPr>
                <w:p w:rsidR="00BC0214" w:rsidRPr="00117E70" w:rsidP="0024229D">
                  <w:pPr>
                    <w:pStyle w:val="TableMiddleRows"/>
                    <w:keepNext w:val="0"/>
                    <w:tabs>
                      <w:tab w:val="clear" w:pos="4140"/>
                    </w:tabs>
                    <w:jc w:val="right"/>
                    <w:rPr>
                      <w:szCs w:val="16"/>
                    </w:rPr>
                  </w:pPr>
                </w:p>
              </w:tc>
              <w:tc>
                <w:tcPr>
                  <w:tcW w:w="628" w:type="pct"/>
                  <w:shd w:val="clear" w:color="auto" w:fill="auto"/>
                  <w:vAlign w:val="bottom"/>
                </w:tcPr>
                <w:p w:rsidR="00BC0214" w:rsidRPr="00117E70" w:rsidP="0024229D">
                  <w:pPr>
                    <w:pStyle w:val="TableMiddleRows"/>
                    <w:keepNext w:val="0"/>
                    <w:tabs>
                      <w:tab w:val="clear" w:pos="4140"/>
                    </w:tabs>
                    <w:jc w:val="right"/>
                    <w:rPr>
                      <w:szCs w:val="16"/>
                    </w:rPr>
                  </w:pPr>
                </w:p>
              </w:tc>
              <w:tc>
                <w:tcPr>
                  <w:tcW w:w="641" w:type="pct"/>
                  <w:vAlign w:val="bottom"/>
                </w:tcPr>
                <w:p w:rsidR="00BC0214" w:rsidRPr="00117E70" w:rsidP="0024229D">
                  <w:pPr>
                    <w:pStyle w:val="TableMiddleRows"/>
                    <w:keepNext w:val="0"/>
                    <w:tabs>
                      <w:tab w:val="clear" w:pos="4140"/>
                    </w:tabs>
                    <w:jc w:val="right"/>
                    <w:rPr>
                      <w:szCs w:val="16"/>
                    </w:rPr>
                  </w:pPr>
                </w:p>
              </w:tc>
              <w:tc>
                <w:tcPr>
                  <w:tcW w:w="685" w:type="pct"/>
                  <w:vAlign w:val="bottom"/>
                </w:tcPr>
                <w:p w:rsidR="00BC0214" w:rsidRPr="00117E70" w:rsidP="0024229D">
                  <w:pPr>
                    <w:pStyle w:val="TableMiddleRows"/>
                    <w:keepNext w:val="0"/>
                    <w:tabs>
                      <w:tab w:val="clear" w:pos="4140"/>
                    </w:tabs>
                    <w:jc w:val="right"/>
                    <w:rPr>
                      <w:szCs w:val="16"/>
                    </w:rPr>
                  </w:pPr>
                </w:p>
              </w:tc>
            </w:tr>
            <w:tr w:rsidTr="0058649F">
              <w:tblPrEx>
                <w:tblW w:w="6557" w:type="dxa"/>
                <w:tblLayout w:type="fixed"/>
                <w:tblLook w:val="04A0"/>
              </w:tblPrEx>
              <w:tc>
                <w:tcPr>
                  <w:tcW w:w="2413" w:type="pct"/>
                  <w:shd w:val="clear" w:color="auto" w:fill="auto"/>
                  <w:vAlign w:val="bottom"/>
                </w:tcPr>
                <w:p w:rsidR="00BC0214" w:rsidRPr="00117E70" w:rsidP="00F3587A">
                  <w:pPr>
                    <w:pStyle w:val="BodyText"/>
                    <w:spacing w:after="0"/>
                    <w:rPr>
                      <w:b/>
                      <w:bCs/>
                      <w:sz w:val="16"/>
                      <w:szCs w:val="16"/>
                    </w:rPr>
                  </w:pPr>
                  <w:r w:rsidRPr="00117E70">
                    <w:rPr>
                      <w:b/>
                      <w:bCs/>
                      <w:sz w:val="16"/>
                      <w:szCs w:val="16"/>
                    </w:rPr>
                    <w:t>Cash Flow Statement</w:t>
                  </w:r>
                </w:p>
              </w:tc>
              <w:tc>
                <w:tcPr>
                  <w:tcW w:w="633" w:type="pct"/>
                  <w:vAlign w:val="bottom"/>
                </w:tcPr>
                <w:p w:rsidR="00BC0214" w:rsidRPr="00117E70" w:rsidP="0024229D">
                  <w:pPr>
                    <w:pStyle w:val="TableMiddleRows"/>
                    <w:keepNext w:val="0"/>
                    <w:tabs>
                      <w:tab w:val="clear" w:pos="4140"/>
                    </w:tabs>
                    <w:jc w:val="right"/>
                    <w:rPr>
                      <w:szCs w:val="16"/>
                    </w:rPr>
                  </w:pPr>
                </w:p>
              </w:tc>
              <w:tc>
                <w:tcPr>
                  <w:tcW w:w="628" w:type="pct"/>
                  <w:shd w:val="clear" w:color="auto" w:fill="auto"/>
                  <w:vAlign w:val="bottom"/>
                </w:tcPr>
                <w:p w:rsidR="00BC0214" w:rsidRPr="00117E70" w:rsidP="0024229D">
                  <w:pPr>
                    <w:pStyle w:val="TableMiddleRows"/>
                    <w:keepNext w:val="0"/>
                    <w:tabs>
                      <w:tab w:val="clear" w:pos="4140"/>
                    </w:tabs>
                    <w:jc w:val="right"/>
                    <w:rPr>
                      <w:szCs w:val="16"/>
                    </w:rPr>
                  </w:pPr>
                </w:p>
              </w:tc>
              <w:tc>
                <w:tcPr>
                  <w:tcW w:w="641" w:type="pct"/>
                  <w:vAlign w:val="bottom"/>
                </w:tcPr>
                <w:p w:rsidR="00BC0214" w:rsidRPr="00117E70" w:rsidP="0024229D">
                  <w:pPr>
                    <w:pStyle w:val="TableMiddleRows"/>
                    <w:keepNext w:val="0"/>
                    <w:tabs>
                      <w:tab w:val="clear" w:pos="4140"/>
                    </w:tabs>
                    <w:jc w:val="right"/>
                    <w:rPr>
                      <w:szCs w:val="16"/>
                    </w:rPr>
                  </w:pPr>
                </w:p>
              </w:tc>
              <w:tc>
                <w:tcPr>
                  <w:tcW w:w="685" w:type="pct"/>
                  <w:vAlign w:val="bottom"/>
                </w:tcPr>
                <w:p w:rsidR="00BC0214" w:rsidRPr="00117E70" w:rsidP="0024229D">
                  <w:pPr>
                    <w:pStyle w:val="TableMiddleRows"/>
                    <w:keepNext w:val="0"/>
                    <w:tabs>
                      <w:tab w:val="clear" w:pos="4140"/>
                    </w:tabs>
                    <w:jc w:val="right"/>
                    <w:rPr>
                      <w:szCs w:val="16"/>
                    </w:rPr>
                  </w:pP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Cash flow from operating activities before changes in operating assets and liabilities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6,472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11,456</w:t>
                  </w:r>
                </w:p>
              </w:tc>
              <w:tc>
                <w:tcPr>
                  <w:tcW w:w="641" w:type="pct"/>
                  <w:vAlign w:val="bottom"/>
                </w:tcPr>
                <w:p w:rsidR="00BC0214" w:rsidRPr="00117E70" w:rsidP="0024229D">
                  <w:pPr>
                    <w:pStyle w:val="TableMiddleRows"/>
                    <w:keepNext w:val="0"/>
                    <w:tabs>
                      <w:tab w:val="clear" w:pos="4140"/>
                    </w:tabs>
                    <w:jc w:val="right"/>
                    <w:rPr>
                      <w:szCs w:val="16"/>
                    </w:rPr>
                  </w:pPr>
                  <w:r>
                    <w:rPr>
                      <w:szCs w:val="16"/>
                    </w:rPr>
                    <w:t>5,437</w:t>
                  </w:r>
                </w:p>
              </w:tc>
              <w:tc>
                <w:tcPr>
                  <w:tcW w:w="685" w:type="pct"/>
                  <w:vAlign w:val="bottom"/>
                </w:tcPr>
                <w:p w:rsidR="00BC0214" w:rsidRPr="00117E70" w:rsidP="0024229D">
                  <w:pPr>
                    <w:pStyle w:val="TableMiddleRows"/>
                    <w:keepNext w:val="0"/>
                    <w:tabs>
                      <w:tab w:val="clear" w:pos="4140"/>
                    </w:tabs>
                    <w:jc w:val="right"/>
                    <w:rPr>
                      <w:szCs w:val="16"/>
                    </w:rPr>
                  </w:pPr>
                  <w:r>
                    <w:rPr>
                      <w:szCs w:val="16"/>
                    </w:rPr>
                    <w:t>4,927</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Cash flow from operating activities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196</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-10,824</w:t>
                  </w:r>
                </w:p>
              </w:tc>
              <w:tc>
                <w:tcPr>
                  <w:tcW w:w="641" w:type="pct"/>
                  <w:vAlign w:val="bottom"/>
                </w:tcPr>
                <w:p w:rsidR="00BC0214" w:rsidRPr="00117E70" w:rsidP="0024229D">
                  <w:pPr>
                    <w:pStyle w:val="TableMiddleRows"/>
                    <w:keepNext w:val="0"/>
                    <w:tabs>
                      <w:tab w:val="clear" w:pos="4140"/>
                    </w:tabs>
                    <w:jc w:val="right"/>
                    <w:rPr>
                      <w:szCs w:val="16"/>
                    </w:rPr>
                  </w:pPr>
                  <w:r>
                    <w:rPr>
                      <w:szCs w:val="16"/>
                    </w:rPr>
                    <w:t>22,204</w:t>
                  </w:r>
                </w:p>
              </w:tc>
              <w:tc>
                <w:tcPr>
                  <w:tcW w:w="685" w:type="pct"/>
                  <w:vAlign w:val="bottom"/>
                </w:tcPr>
                <w:p w:rsidR="00BC0214" w:rsidRPr="00117E70" w:rsidP="0024229D">
                  <w:pPr>
                    <w:pStyle w:val="TableMiddleRows"/>
                    <w:keepNext w:val="0"/>
                    <w:tabs>
                      <w:tab w:val="clear" w:pos="4140"/>
                    </w:tabs>
                    <w:jc w:val="right"/>
                    <w:rPr>
                      <w:szCs w:val="16"/>
                    </w:rPr>
                  </w:pPr>
                  <w:r>
                    <w:rPr>
                      <w:szCs w:val="16"/>
                    </w:rPr>
                    <w:t>11,776</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Cash flow from investing activities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-522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3,254</w:t>
                  </w:r>
                </w:p>
              </w:tc>
              <w:tc>
                <w:tcPr>
                  <w:tcW w:w="641" w:type="pct"/>
                  <w:vAlign w:val="bottom"/>
                </w:tcPr>
                <w:p w:rsidR="00BC0214" w:rsidRPr="00117E70" w:rsidP="0024229D">
                  <w:pPr>
                    <w:pStyle w:val="TableMiddleRows"/>
                    <w:keepNext w:val="0"/>
                    <w:tabs>
                      <w:tab w:val="clear" w:pos="4140"/>
                    </w:tabs>
                    <w:jc w:val="right"/>
                    <w:rPr>
                      <w:szCs w:val="16"/>
                    </w:rPr>
                  </w:pPr>
                  <w:r>
                    <w:rPr>
                      <w:szCs w:val="16"/>
                    </w:rPr>
                    <w:t>-762</w:t>
                  </w:r>
                </w:p>
              </w:tc>
              <w:tc>
                <w:tcPr>
                  <w:tcW w:w="685" w:type="pct"/>
                  <w:vAlign w:val="bottom"/>
                </w:tcPr>
                <w:p w:rsidR="00BC0214" w:rsidRPr="00117E70" w:rsidP="0024229D">
                  <w:pPr>
                    <w:pStyle w:val="TableMiddleRows"/>
                    <w:keepNext w:val="0"/>
                    <w:tabs>
                      <w:tab w:val="clear" w:pos="4140"/>
                    </w:tabs>
                    <w:jc w:val="right"/>
                    <w:rPr>
                      <w:szCs w:val="16"/>
                    </w:rPr>
                  </w:pPr>
                  <w:r>
                    <w:rPr>
                      <w:szCs w:val="16"/>
                    </w:rPr>
                    <w:t>-441</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Cash flow from financing activities</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-1,746</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-1,040</w:t>
                  </w:r>
                </w:p>
              </w:tc>
              <w:tc>
                <w:tcPr>
                  <w:tcW w:w="641" w:type="pct"/>
                  <w:vAlign w:val="bottom"/>
                </w:tcPr>
                <w:p w:rsidR="00BC0214" w:rsidRPr="00117E70" w:rsidP="0024229D">
                  <w:pPr>
                    <w:pStyle w:val="TableMiddleRows"/>
                    <w:keepNext w:val="0"/>
                    <w:tabs>
                      <w:tab w:val="clear" w:pos="4140"/>
                    </w:tabs>
                    <w:jc w:val="right"/>
                    <w:rPr>
                      <w:szCs w:val="16"/>
                    </w:rPr>
                  </w:pPr>
                  <w:r>
                    <w:rPr>
                      <w:szCs w:val="16"/>
                    </w:rPr>
                    <w:t>-1,560</w:t>
                  </w:r>
                </w:p>
              </w:tc>
              <w:tc>
                <w:tcPr>
                  <w:tcW w:w="685" w:type="pct"/>
                  <w:vAlign w:val="bottom"/>
                </w:tcPr>
                <w:p w:rsidR="00BC0214" w:rsidRPr="00117E70" w:rsidP="0024229D">
                  <w:pPr>
                    <w:pStyle w:val="TableMiddleRows"/>
                    <w:keepNext w:val="0"/>
                    <w:tabs>
                      <w:tab w:val="clear" w:pos="4140"/>
                    </w:tabs>
                    <w:jc w:val="right"/>
                    <w:rPr>
                      <w:szCs w:val="16"/>
                    </w:rPr>
                  </w:pPr>
                  <w:r>
                    <w:rPr>
                      <w:szCs w:val="16"/>
                    </w:rPr>
                    <w:t>-2,613</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Cash flow for the period</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-2,072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-8,610</w:t>
                  </w:r>
                </w:p>
              </w:tc>
              <w:tc>
                <w:tcPr>
                  <w:tcW w:w="641" w:type="pct"/>
                  <w:vAlign w:val="bottom"/>
                </w:tcPr>
                <w:p w:rsidR="00BC0214" w:rsidRPr="00117E70" w:rsidP="0024229D">
                  <w:pPr>
                    <w:pStyle w:val="TableMiddleRows"/>
                    <w:keepNext w:val="0"/>
                    <w:tabs>
                      <w:tab w:val="clear" w:pos="4140"/>
                    </w:tabs>
                    <w:jc w:val="right"/>
                    <w:rPr>
                      <w:szCs w:val="16"/>
                    </w:rPr>
                  </w:pPr>
                  <w:r>
                    <w:rPr>
                      <w:szCs w:val="16"/>
                    </w:rPr>
                    <w:t>19,882</w:t>
                  </w:r>
                </w:p>
              </w:tc>
              <w:tc>
                <w:tcPr>
                  <w:tcW w:w="685" w:type="pct"/>
                  <w:vAlign w:val="bottom"/>
                </w:tcPr>
                <w:p w:rsidR="00BC0214" w:rsidRPr="00117E70" w:rsidP="0024229D">
                  <w:pPr>
                    <w:pStyle w:val="TableMiddleRows"/>
                    <w:keepNext w:val="0"/>
                    <w:tabs>
                      <w:tab w:val="clear" w:pos="4140"/>
                    </w:tabs>
                    <w:jc w:val="right"/>
                    <w:rPr>
                      <w:szCs w:val="16"/>
                    </w:rPr>
                  </w:pPr>
                  <w:r>
                    <w:rPr>
                      <w:szCs w:val="16"/>
                    </w:rPr>
                    <w:t>8,722</w:t>
                  </w:r>
                </w:p>
              </w:tc>
            </w:tr>
            <w:tr w:rsidTr="0058649F">
              <w:tblPrEx>
                <w:tblW w:w="6557" w:type="dxa"/>
                <w:tblLayout w:type="fixed"/>
                <w:tblLook w:val="04A0"/>
              </w:tblPrEx>
              <w:tc>
                <w:tcPr>
                  <w:tcW w:w="2413" w:type="pct"/>
                  <w:shd w:val="clear" w:color="auto" w:fill="auto"/>
                  <w:vAlign w:val="bottom"/>
                </w:tcPr>
                <w:p w:rsidR="00BC0214" w:rsidRPr="00117E70" w:rsidP="00F05A28">
                  <w:pPr>
                    <w:pStyle w:val="TableMiddleRows"/>
                    <w:keepNext w:val="0"/>
                    <w:tabs>
                      <w:tab w:val="right" w:leader="dot" w:pos="3337"/>
                      <w:tab w:val="clear" w:pos="4140"/>
                    </w:tabs>
                    <w:rPr>
                      <w:szCs w:val="16"/>
                    </w:rPr>
                  </w:pPr>
                  <w:r w:rsidRPr="00117E70">
                    <w:rPr>
                      <w:szCs w:val="16"/>
                    </w:rPr>
                    <w:t>Change</w:t>
                  </w:r>
                  <w:r w:rsidRPr="00117E70">
                    <w:rPr>
                      <w:szCs w:val="16"/>
                    </w:rPr>
                    <w:tab/>
                  </w:r>
                </w:p>
              </w:tc>
              <w:tc>
                <w:tcPr>
                  <w:tcW w:w="633" w:type="pct"/>
                  <w:vAlign w:val="bottom"/>
                </w:tcPr>
                <w:p w:rsidR="00BC0214" w:rsidRPr="00117E70" w:rsidP="0024229D">
                  <w:pPr>
                    <w:pStyle w:val="TableMiddleRows"/>
                    <w:keepNext w:val="0"/>
                    <w:tabs>
                      <w:tab w:val="clear" w:pos="4140"/>
                    </w:tabs>
                    <w:jc w:val="right"/>
                    <w:rPr>
                      <w:szCs w:val="16"/>
                    </w:rPr>
                  </w:pPr>
                  <w:r w:rsidRPr="00117E70">
                    <w:rPr>
                      <w:szCs w:val="16"/>
                    </w:rPr>
                    <w:t>-2,072</w:t>
                  </w:r>
                </w:p>
              </w:tc>
              <w:tc>
                <w:tcPr>
                  <w:tcW w:w="628" w:type="pct"/>
                  <w:shd w:val="clear" w:color="auto" w:fill="auto"/>
                  <w:vAlign w:val="bottom"/>
                </w:tcPr>
                <w:p w:rsidR="00BC0214" w:rsidRPr="00971178" w:rsidP="0024229D">
                  <w:pPr>
                    <w:pStyle w:val="TableMiddleRows"/>
                    <w:keepNext w:val="0"/>
                    <w:tabs>
                      <w:tab w:val="clear" w:pos="4140"/>
                    </w:tabs>
                    <w:jc w:val="right"/>
                    <w:rPr>
                      <w:szCs w:val="16"/>
                    </w:rPr>
                  </w:pPr>
                  <w:r w:rsidRPr="00971178">
                    <w:rPr>
                      <w:rFonts w:hint="eastAsia"/>
                      <w:szCs w:val="16"/>
                    </w:rPr>
                    <w:t>-8,610</w:t>
                  </w:r>
                </w:p>
              </w:tc>
              <w:tc>
                <w:tcPr>
                  <w:tcW w:w="641" w:type="pct"/>
                  <w:vAlign w:val="bottom"/>
                </w:tcPr>
                <w:p w:rsidR="00BC0214" w:rsidRPr="00971178" w:rsidP="0024229D">
                  <w:pPr>
                    <w:pStyle w:val="TableMiddleRows"/>
                    <w:keepNext w:val="0"/>
                    <w:tabs>
                      <w:tab w:val="clear" w:pos="4140"/>
                    </w:tabs>
                    <w:jc w:val="right"/>
                    <w:rPr>
                      <w:szCs w:val="16"/>
                    </w:rPr>
                  </w:pPr>
                  <w:r w:rsidRPr="00971178">
                    <w:rPr>
                      <w:szCs w:val="16"/>
                    </w:rPr>
                    <w:t>19,882</w:t>
                  </w:r>
                </w:p>
              </w:tc>
              <w:tc>
                <w:tcPr>
                  <w:tcW w:w="685" w:type="pct"/>
                  <w:vAlign w:val="bottom"/>
                </w:tcPr>
                <w:p w:rsidR="00BC0214" w:rsidRPr="00971178" w:rsidP="0024229D">
                  <w:pPr>
                    <w:pStyle w:val="TableMiddleRows"/>
                    <w:keepNext w:val="0"/>
                    <w:tabs>
                      <w:tab w:val="clear" w:pos="4140"/>
                    </w:tabs>
                    <w:jc w:val="right"/>
                    <w:rPr>
                      <w:szCs w:val="16"/>
                    </w:rPr>
                  </w:pPr>
                  <w:r w:rsidRPr="00971178">
                    <w:rPr>
                      <w:szCs w:val="16"/>
                    </w:rPr>
                    <w:t>8,722</w:t>
                  </w:r>
                </w:p>
              </w:tc>
            </w:tr>
          </w:tbl>
          <w:p w:rsidR="00BC0214" w:rsidRPr="00293B1F" w:rsidP="00F3587A">
            <w:pPr>
              <w:pStyle w:val="BodyText"/>
              <w:spacing w:after="0"/>
              <w:rPr>
                <w:i/>
                <w:iCs/>
              </w:rPr>
            </w:pP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p>
        </w:tc>
        <w:tc>
          <w:tcPr>
            <w:tcW w:w="3819" w:type="pct"/>
            <w:tcBorders>
              <w:top w:val="single" w:sz="4" w:space="0" w:color="auto"/>
              <w:left w:val="single" w:sz="4" w:space="0" w:color="auto"/>
              <w:bottom w:val="single" w:sz="4" w:space="0" w:color="auto"/>
              <w:right w:val="single" w:sz="4" w:space="0" w:color="auto"/>
            </w:tcBorders>
          </w:tcPr>
          <w:p w:rsidR="00BC0214" w:rsidRPr="00293B1F" w:rsidP="00A848AF">
            <w:pPr>
              <w:pStyle w:val="BodyText"/>
            </w:pPr>
            <w:r w:rsidRPr="00293B1F">
              <w:t>There has been no material adverse change in the ordinary course of business or in the prospects or condition of NBAB since 31 December 2015, being the date of its last published audited financial statements.</w:t>
            </w:r>
            <w:r>
              <w:rPr>
                <w:rStyle w:val="FootnoteReference"/>
              </w:rPr>
              <w:footnoteReference w:id="8"/>
            </w:r>
          </w:p>
        </w:tc>
      </w:tr>
      <w:tr w:rsidTr="0058649F">
        <w:tblPrEx>
          <w:tblW w:w="5000" w:type="pct"/>
          <w:tblLayout w:type="fixed"/>
          <w:tblLook w:val="0000"/>
        </w:tblPrEx>
        <w:trPr>
          <w:cantSplit/>
        </w:trPr>
        <w:tc>
          <w:tcPr>
            <w:tcW w:w="387" w:type="pct"/>
            <w:tcBorders>
              <w:top w:val="single" w:sz="4" w:space="0" w:color="auto"/>
              <w:left w:val="single" w:sz="4" w:space="0" w:color="auto"/>
              <w:right w:val="single" w:sz="4" w:space="0" w:color="auto"/>
            </w:tcBorders>
          </w:tcPr>
          <w:p w:rsidR="00BC0214" w:rsidRPr="00293B1F" w:rsidP="00A848AF">
            <w:pPr>
              <w:pStyle w:val="BodyText"/>
              <w:keepNext/>
              <w:rPr>
                <w:b/>
                <w:bCs/>
              </w:rPr>
            </w:pPr>
          </w:p>
        </w:tc>
        <w:tc>
          <w:tcPr>
            <w:tcW w:w="794" w:type="pct"/>
            <w:tcBorders>
              <w:top w:val="single" w:sz="4" w:space="0" w:color="auto"/>
              <w:left w:val="single" w:sz="4" w:space="0" w:color="auto"/>
              <w:right w:val="single" w:sz="4" w:space="0" w:color="auto"/>
            </w:tcBorders>
          </w:tcPr>
          <w:p w:rsidR="00BC0214" w:rsidRPr="00293B1F" w:rsidP="00A848AF">
            <w:pPr>
              <w:pStyle w:val="BodyText"/>
              <w:keepNext/>
              <w:jc w:val="left"/>
              <w:rPr>
                <w:b/>
                <w:bCs/>
              </w:rPr>
            </w:pPr>
          </w:p>
        </w:tc>
        <w:tc>
          <w:tcPr>
            <w:tcW w:w="3819" w:type="pct"/>
            <w:tcBorders>
              <w:top w:val="single" w:sz="4" w:space="0" w:color="auto"/>
              <w:left w:val="single" w:sz="4" w:space="0" w:color="auto"/>
              <w:right w:val="single" w:sz="4" w:space="0" w:color="auto"/>
            </w:tcBorders>
          </w:tcPr>
          <w:p w:rsidR="00BC0214" w:rsidRPr="00293B1F" w:rsidP="00A848AF">
            <w:pPr>
              <w:pStyle w:val="BodyText"/>
              <w:keepNext/>
              <w:rPr>
                <w:b/>
              </w:rPr>
            </w:pPr>
            <w:r w:rsidRPr="00293B1F">
              <w:t xml:space="preserve">There has been no significant change in the financial or trading position of NBAB which has occurred since </w:t>
            </w:r>
            <w:r>
              <w:t>30 September 2016</w:t>
            </w:r>
            <w:r>
              <w:rPr>
                <w:rStyle w:val="FootnoteReference"/>
              </w:rPr>
              <w:footnoteReference w:id="9"/>
            </w:r>
            <w:r w:rsidRPr="00293B1F">
              <w:t xml:space="preserve">, being the date of </w:t>
            </w:r>
            <w:r w:rsidR="00F3587A">
              <w:t>its</w:t>
            </w:r>
            <w:r w:rsidRPr="00293B1F">
              <w:t xml:space="preserve"> last published financial statements.</w:t>
            </w:r>
            <w:r>
              <w:rPr>
                <w:rStyle w:val="FootnoteReference"/>
              </w:rPr>
              <w:footnoteReference w:id="10"/>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A848AF">
            <w:pPr>
              <w:pStyle w:val="BodyText"/>
              <w:keepNext/>
              <w:rPr>
                <w:b/>
                <w:bCs/>
              </w:rPr>
            </w:pPr>
            <w:r w:rsidRPr="00293B1F">
              <w:rPr>
                <w:b/>
                <w:bCs/>
              </w:rPr>
              <w:t>B.13</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A848AF">
            <w:pPr>
              <w:pStyle w:val="BodyText"/>
              <w:keepNext/>
              <w:jc w:val="left"/>
              <w:rPr>
                <w:b/>
                <w:bCs/>
              </w:rPr>
            </w:pPr>
            <w:r w:rsidRPr="00293B1F">
              <w:rPr>
                <w:b/>
                <w:bCs/>
              </w:rPr>
              <w:t>Recent Events:</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735241">
            <w:pPr>
              <w:pStyle w:val="BodyText"/>
              <w:keepNext/>
            </w:pPr>
            <w:r w:rsidRPr="00293B1F">
              <w:t xml:space="preserve">Not Applicable for </w:t>
            </w:r>
            <w:r w:rsidR="00F3587A">
              <w:t>the</w:t>
            </w:r>
            <w:r w:rsidRPr="00293B1F">
              <w:t xml:space="preserve"> Issuer. There have been no recent events particular to </w:t>
            </w:r>
            <w:r w:rsidR="00F3587A">
              <w:t>the</w:t>
            </w:r>
            <w:r w:rsidRPr="00293B1F">
              <w:t xml:space="preserve"> Issuer which are to a material extent relevant to the evaluation of the Issuer's solvency since the date of the Issuer's last published audited or unaudited financial statements.</w:t>
            </w:r>
            <w:r w:rsidR="00735241">
              <w:rPr>
                <w:vertAlign w:val="superscript"/>
              </w:rPr>
              <w:t>9</w:t>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B.14</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r w:rsidRPr="00293B1F">
              <w:rPr>
                <w:b/>
                <w:bCs/>
              </w:rPr>
              <w:t>Dependence upon other entities within the Group:</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735241">
            <w:pPr>
              <w:pStyle w:val="BodyText"/>
            </w:pPr>
            <w:r w:rsidRPr="00293B1F">
              <w:t xml:space="preserve">Not Applicable.  NBAB is </w:t>
            </w:r>
            <w:r>
              <w:t xml:space="preserve">not </w:t>
            </w:r>
            <w:r w:rsidRPr="00293B1F">
              <w:t>dependent upon other entities within the Nordea Group.</w:t>
            </w:r>
            <w:r w:rsidR="00735241">
              <w:rPr>
                <w:vertAlign w:val="superscript"/>
              </w:rPr>
              <w:t>9</w:t>
            </w:r>
          </w:p>
        </w:tc>
      </w:tr>
      <w:tr w:rsidTr="0058649F">
        <w:tblPrEx>
          <w:tblW w:w="5000" w:type="pct"/>
          <w:tblLayout w:type="fixed"/>
          <w:tblLook w:val="0000"/>
        </w:tblPrEx>
        <w:trPr>
          <w:cantSplit/>
        </w:trPr>
        <w:tc>
          <w:tcPr>
            <w:tcW w:w="387" w:type="pct"/>
            <w:tcBorders>
              <w:top w:val="single" w:sz="4" w:space="0" w:color="auto"/>
              <w:left w:val="single" w:sz="4" w:space="0" w:color="auto"/>
              <w:right w:val="single" w:sz="4" w:space="0" w:color="auto"/>
            </w:tcBorders>
          </w:tcPr>
          <w:p w:rsidR="00BC0214" w:rsidRPr="00293B1F" w:rsidP="00F3587A">
            <w:pPr>
              <w:pStyle w:val="BodyText"/>
              <w:rPr>
                <w:b/>
                <w:bCs/>
              </w:rPr>
            </w:pPr>
            <w:r w:rsidRPr="00293B1F">
              <w:rPr>
                <w:b/>
                <w:bCs/>
              </w:rPr>
              <w:t>B.15</w:t>
            </w:r>
          </w:p>
        </w:tc>
        <w:tc>
          <w:tcPr>
            <w:tcW w:w="794" w:type="pct"/>
            <w:tcBorders>
              <w:top w:val="single" w:sz="4" w:space="0" w:color="auto"/>
              <w:left w:val="single" w:sz="4" w:space="0" w:color="auto"/>
              <w:right w:val="single" w:sz="4" w:space="0" w:color="auto"/>
            </w:tcBorders>
          </w:tcPr>
          <w:p w:rsidR="00BC0214" w:rsidRPr="00293B1F" w:rsidP="00F3587A">
            <w:pPr>
              <w:pStyle w:val="BodyText"/>
              <w:jc w:val="left"/>
              <w:rPr>
                <w:b/>
                <w:bCs/>
              </w:rPr>
            </w:pPr>
            <w:r w:rsidRPr="00293B1F">
              <w:rPr>
                <w:b/>
                <w:bCs/>
              </w:rPr>
              <w:t>The Issuer's Principal Activities:</w:t>
            </w:r>
          </w:p>
        </w:tc>
        <w:tc>
          <w:tcPr>
            <w:tcW w:w="3819" w:type="pct"/>
            <w:tcBorders>
              <w:top w:val="single" w:sz="4" w:space="0" w:color="auto"/>
              <w:left w:val="single" w:sz="4" w:space="0" w:color="auto"/>
              <w:right w:val="single" w:sz="4" w:space="0" w:color="auto"/>
            </w:tcBorders>
          </w:tcPr>
          <w:p w:rsidR="00BC0214" w:rsidRPr="00293B1F" w:rsidP="00F3587A">
            <w:pPr>
              <w:pStyle w:val="BodyText"/>
            </w:pPr>
            <w:r w:rsidRPr="00293B1F">
              <w:t xml:space="preserve">The Nordea Group's organisational structure is built around three main business areas: Retail Banking, Wholesale Banking and Wealth Management.  In addition to these business areas, the Nordea Group's organisation includes the following three Group functions: Group Corporate Centre, Group Risk Management and Group Compliance.  </w:t>
            </w:r>
          </w:p>
        </w:tc>
      </w:tr>
      <w:tr w:rsidTr="0058649F">
        <w:tblPrEx>
          <w:tblW w:w="5000" w:type="pct"/>
          <w:tblLayout w:type="fixed"/>
          <w:tblLook w:val="0000"/>
        </w:tblPrEx>
        <w:trPr>
          <w:cantSplit/>
        </w:trPr>
        <w:tc>
          <w:tcPr>
            <w:tcW w:w="387" w:type="pct"/>
            <w:tcBorders>
              <w:left w:val="single" w:sz="4" w:space="0" w:color="auto"/>
              <w:bottom w:val="single" w:sz="4" w:space="0" w:color="auto"/>
              <w:right w:val="single" w:sz="4" w:space="0" w:color="auto"/>
            </w:tcBorders>
          </w:tcPr>
          <w:p w:rsidR="00BC0214" w:rsidRPr="00293B1F" w:rsidP="00F3587A">
            <w:pPr>
              <w:pStyle w:val="BodyText"/>
              <w:rPr>
                <w:b/>
                <w:bCs/>
              </w:rPr>
            </w:pPr>
          </w:p>
        </w:tc>
        <w:tc>
          <w:tcPr>
            <w:tcW w:w="794" w:type="pct"/>
            <w:tcBorders>
              <w:left w:val="single" w:sz="4" w:space="0" w:color="auto"/>
              <w:bottom w:val="single" w:sz="4" w:space="0" w:color="auto"/>
              <w:right w:val="single" w:sz="4" w:space="0" w:color="auto"/>
            </w:tcBorders>
          </w:tcPr>
          <w:p w:rsidR="00BC0214" w:rsidRPr="00293B1F" w:rsidP="00F3587A">
            <w:pPr>
              <w:pStyle w:val="BodyText"/>
              <w:jc w:val="left"/>
              <w:rPr>
                <w:b/>
                <w:bCs/>
              </w:rPr>
            </w:pPr>
          </w:p>
        </w:tc>
        <w:tc>
          <w:tcPr>
            <w:tcW w:w="3819" w:type="pct"/>
            <w:tcBorders>
              <w:left w:val="single" w:sz="4" w:space="0" w:color="auto"/>
              <w:bottom w:val="single" w:sz="4" w:space="0" w:color="auto"/>
              <w:right w:val="single" w:sz="4" w:space="0" w:color="auto"/>
            </w:tcBorders>
          </w:tcPr>
          <w:p w:rsidR="00BC0214" w:rsidRPr="00293B1F" w:rsidP="00735241">
            <w:pPr>
              <w:pStyle w:val="BodyText"/>
            </w:pPr>
            <w:r w:rsidRPr="00293B1F">
              <w:t>NBAB conducts banking operations in Sweden within the scope of the Nordea Group's business organisation.  NBAB develops and markets financial products and services to personal customers, corporate customers and the public sector.</w:t>
            </w:r>
            <w:r w:rsidR="00735241">
              <w:rPr>
                <w:vertAlign w:val="superscript"/>
              </w:rPr>
              <w:t>9</w:t>
            </w:r>
          </w:p>
        </w:tc>
      </w:tr>
      <w:tr w:rsidTr="0058649F">
        <w:tblPrEx>
          <w:tblW w:w="5000" w:type="pct"/>
          <w:tblLayout w:type="fixed"/>
          <w:tblLook w:val="0000"/>
        </w:tblPrEx>
        <w:trPr>
          <w:cantSplit/>
        </w:trPr>
        <w:tc>
          <w:tcPr>
            <w:tcW w:w="38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rPr>
                <w:b/>
                <w:bCs/>
              </w:rPr>
            </w:pPr>
            <w:r w:rsidRPr="00293B1F">
              <w:rPr>
                <w:b/>
                <w:bCs/>
              </w:rPr>
              <w:t>B.16</w:t>
            </w:r>
          </w:p>
        </w:tc>
        <w:tc>
          <w:tcPr>
            <w:tcW w:w="794"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jc w:val="left"/>
              <w:rPr>
                <w:b/>
                <w:bCs/>
              </w:rPr>
            </w:pPr>
            <w:r w:rsidRPr="00293B1F">
              <w:rPr>
                <w:b/>
                <w:bCs/>
              </w:rPr>
              <w:t>Controlling Persons:</w:t>
            </w:r>
          </w:p>
        </w:tc>
        <w:tc>
          <w:tcPr>
            <w:tcW w:w="3819" w:type="pct"/>
            <w:tcBorders>
              <w:top w:val="single" w:sz="4" w:space="0" w:color="auto"/>
              <w:left w:val="single" w:sz="4" w:space="0" w:color="auto"/>
              <w:bottom w:val="single" w:sz="4" w:space="0" w:color="auto"/>
              <w:right w:val="single" w:sz="4" w:space="0" w:color="auto"/>
            </w:tcBorders>
          </w:tcPr>
          <w:p w:rsidR="00BC0214" w:rsidRPr="00293B1F" w:rsidP="00735241">
            <w:pPr>
              <w:pStyle w:val="BodyText"/>
            </w:pPr>
            <w:r w:rsidRPr="00293B1F">
              <w:t>Not Applicable.  To the best of NBAB's knowledge, the Nordea Group is not directly or indirectly owned or controlled by any single person or group of persons acting together.</w:t>
            </w:r>
            <w:r w:rsidR="00735241">
              <w:rPr>
                <w:vertAlign w:val="superscript"/>
              </w:rPr>
              <w:t>9</w:t>
            </w:r>
          </w:p>
        </w:tc>
      </w:tr>
    </w:tbl>
    <w:p w:rsidR="00BC0214" w:rsidRPr="00293B1F" w:rsidP="00BC0214">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1671"/>
        <w:gridCol w:w="6432"/>
      </w:tblGrid>
      <w:tr w:rsidTr="00F3587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354" w:type="pct"/>
            <w:tcBorders>
              <w:bottom w:val="single" w:sz="4" w:space="0" w:color="auto"/>
            </w:tcBorders>
          </w:tcPr>
          <w:p w:rsidR="00BC0214" w:rsidRPr="00293B1F" w:rsidP="00F3587A">
            <w:pPr>
              <w:pStyle w:val="BodyText"/>
              <w:keepNext/>
              <w:pageBreakBefore/>
              <w:jc w:val="center"/>
              <w:rPr>
                <w:b/>
                <w:bCs/>
              </w:rPr>
            </w:pPr>
          </w:p>
        </w:tc>
        <w:tc>
          <w:tcPr>
            <w:tcW w:w="4646" w:type="pct"/>
            <w:gridSpan w:val="2"/>
            <w:tcBorders>
              <w:bottom w:val="single" w:sz="4" w:space="0" w:color="auto"/>
            </w:tcBorders>
          </w:tcPr>
          <w:p w:rsidR="00BC0214" w:rsidRPr="00293B1F" w:rsidP="00A848AF">
            <w:pPr>
              <w:pStyle w:val="BodyText"/>
              <w:jc w:val="center"/>
              <w:rPr>
                <w:b/>
                <w:bCs/>
              </w:rPr>
            </w:pPr>
            <w:r w:rsidRPr="00293B1F">
              <w:rPr>
                <w:b/>
                <w:bCs/>
              </w:rPr>
              <w:t>Section C – The Instruments</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rPr>
            </w:pPr>
            <w:r w:rsidRPr="00293B1F">
              <w:rPr>
                <w:b/>
                <w:bCs/>
              </w:rPr>
              <w:t>C.1</w:t>
            </w:r>
          </w:p>
        </w:tc>
        <w:tc>
          <w:tcPr>
            <w:tcW w:w="958" w:type="pct"/>
            <w:tcBorders>
              <w:bottom w:val="nil"/>
            </w:tcBorders>
          </w:tcPr>
          <w:p w:rsidR="00BC0214" w:rsidRPr="00293B1F" w:rsidP="00F3587A">
            <w:pPr>
              <w:pStyle w:val="BodyText"/>
              <w:jc w:val="left"/>
              <w:rPr>
                <w:b/>
                <w:bCs/>
              </w:rPr>
            </w:pPr>
            <w:r w:rsidRPr="00293B1F">
              <w:rPr>
                <w:b/>
                <w:bCs/>
              </w:rPr>
              <w:t>Description of Type and Class of Securities:</w:t>
            </w:r>
          </w:p>
        </w:tc>
        <w:tc>
          <w:tcPr>
            <w:tcW w:w="3688" w:type="pct"/>
            <w:tcBorders>
              <w:bottom w:val="nil"/>
            </w:tcBorders>
          </w:tcPr>
          <w:p w:rsidR="00BC0214" w:rsidRPr="00293B1F" w:rsidP="00F3587A">
            <w:pPr>
              <w:pStyle w:val="BodyText"/>
              <w:rPr>
                <w:szCs w:val="20"/>
              </w:rPr>
            </w:pPr>
            <w:r w:rsidRPr="00293B1F">
              <w:rPr>
                <w:b/>
                <w:bCs/>
                <w:i/>
                <w:iCs/>
              </w:rPr>
              <w:t>Issuance in Series:</w:t>
            </w:r>
            <w:r w:rsidRPr="00293B1F">
              <w:rPr>
                <w:b/>
                <w:bCs/>
              </w:rPr>
              <w:t xml:space="preserve">  </w:t>
            </w:r>
            <w:r w:rsidRPr="00293B1F">
              <w:t>Instruments are issued in series (each a "</w:t>
            </w:r>
            <w:r w:rsidRPr="00293B1F">
              <w:rPr>
                <w:b/>
                <w:bCs/>
              </w:rPr>
              <w:t>Series</w:t>
            </w:r>
            <w:r w:rsidRPr="00293B1F">
              <w:t>") and Instruments of each Series will all be subject to identical terms (except issue price, issue date and interest commencement date, which may or may not be identical) whether as to currency, interest, yield or maturity or otherwise.  Further tranches of Instruments (each a "</w:t>
            </w:r>
            <w:r w:rsidRPr="00293B1F">
              <w:rPr>
                <w:b/>
                <w:bCs/>
              </w:rPr>
              <w:t>Tranche</w:t>
            </w:r>
            <w:r w:rsidRPr="00293B1F">
              <w:t>") may be issued as part of an existing Series.</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jc w:val="left"/>
              <w:rPr>
                <w:b/>
                <w:bCs/>
              </w:rPr>
            </w:pPr>
          </w:p>
        </w:tc>
        <w:tc>
          <w:tcPr>
            <w:tcW w:w="3688" w:type="pct"/>
            <w:tcBorders>
              <w:top w:val="nil"/>
              <w:bottom w:val="nil"/>
            </w:tcBorders>
          </w:tcPr>
          <w:p w:rsidR="00BC0214" w:rsidRPr="00293B1F" w:rsidP="00F3587A">
            <w:pPr>
              <w:pStyle w:val="BodyText"/>
              <w:rPr>
                <w:b/>
                <w:bCs/>
                <w:i/>
                <w:iCs/>
              </w:rPr>
            </w:pPr>
            <w:r w:rsidRPr="00293B1F">
              <w:rPr>
                <w:i/>
                <w:iCs/>
              </w:rPr>
              <w:t>The title and Series number of the Instruments is [•].  The Tranche number is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rPr>
                <w:i/>
                <w:iCs/>
              </w:rPr>
            </w:pPr>
            <w:r w:rsidRPr="00293B1F">
              <w:rPr>
                <w:b/>
                <w:bCs/>
                <w:i/>
                <w:iCs/>
              </w:rPr>
              <w:t>Forms of Instruments:</w:t>
            </w:r>
            <w:r w:rsidRPr="00293B1F">
              <w:rPr>
                <w:b/>
                <w:bCs/>
              </w:rPr>
              <w:t xml:space="preserve">  </w:t>
            </w:r>
            <w:r w:rsidRPr="00293B1F">
              <w:t>Instruments may be issued in registered certificated form and may be cleared through Euroclear Bank, S.A./N.V. ("</w:t>
            </w:r>
            <w:r w:rsidRPr="00293B1F">
              <w:rPr>
                <w:b/>
              </w:rPr>
              <w:t>Euroclear</w:t>
            </w:r>
            <w:r w:rsidRPr="00293B1F">
              <w:t xml:space="preserve">" or Clearstream Banking, </w:t>
            </w:r>
            <w:r w:rsidRPr="00293B1F">
              <w:rPr>
                <w:i/>
              </w:rPr>
              <w:t>soci</w:t>
            </w:r>
            <w:r w:rsidRPr="00293B1F">
              <w:rPr>
                <w:rFonts w:cs="Times New Roman"/>
                <w:i/>
              </w:rPr>
              <w:t>é</w:t>
            </w:r>
            <w:r w:rsidRPr="00293B1F">
              <w:rPr>
                <w:i/>
              </w:rPr>
              <w:t>t</w:t>
            </w:r>
            <w:r w:rsidRPr="00293B1F">
              <w:rPr>
                <w:rFonts w:cs="Times New Roman"/>
                <w:i/>
              </w:rPr>
              <w:t>é</w:t>
            </w:r>
            <w:r w:rsidRPr="00293B1F">
              <w:rPr>
                <w:i/>
              </w:rPr>
              <w:t xml:space="preserve"> anonyme</w:t>
            </w:r>
            <w:r w:rsidRPr="00293B1F">
              <w:t xml:space="preserve"> ("</w:t>
            </w:r>
            <w:r w:rsidRPr="00293B1F">
              <w:rPr>
                <w:b/>
              </w:rPr>
              <w:t>Clearstream, Luxembourg</w:t>
            </w:r>
            <w:r w:rsidRPr="00293B1F">
              <w:t xml:space="preserve">").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rPr>
                <w:bCs/>
                <w:iCs/>
              </w:rPr>
            </w:pPr>
            <w:r w:rsidRPr="00293B1F">
              <w:rPr>
                <w:bCs/>
                <w:iCs/>
              </w:rPr>
              <w:t>Instruments may issued in dematerialised form and registered for clearing and settlement with Euroclear Sweden AB ("</w:t>
            </w:r>
            <w:r w:rsidRPr="00293B1F">
              <w:rPr>
                <w:b/>
                <w:bCs/>
                <w:iCs/>
              </w:rPr>
              <w:t>Euroclear Sweden</w:t>
            </w:r>
            <w:r w:rsidRPr="00293B1F">
              <w:rPr>
                <w:bCs/>
                <w:iCs/>
              </w:rPr>
              <w:t xml:space="preserve">"), Euroclear </w:t>
            </w:r>
            <w:r w:rsidRPr="005A5DB0">
              <w:t>Finland</w:t>
            </w:r>
            <w:r w:rsidRPr="00293B1F">
              <w:rPr>
                <w:bCs/>
                <w:iCs/>
              </w:rPr>
              <w:t xml:space="preserve"> AB ("</w:t>
            </w:r>
            <w:r w:rsidRPr="00293B1F">
              <w:rPr>
                <w:b/>
                <w:bCs/>
                <w:iCs/>
              </w:rPr>
              <w:t>Euroclear Finland</w:t>
            </w:r>
            <w:r w:rsidRPr="00293B1F">
              <w:rPr>
                <w:bCs/>
                <w:iCs/>
              </w:rPr>
              <w:t>"), VP Securities A/S ("</w:t>
            </w:r>
            <w:r w:rsidRPr="00293B1F">
              <w:rPr>
                <w:b/>
                <w:bCs/>
                <w:iCs/>
              </w:rPr>
              <w:t>VP</w:t>
            </w:r>
            <w:r w:rsidRPr="00293B1F">
              <w:rPr>
                <w:bCs/>
                <w:iCs/>
              </w:rPr>
              <w:t>"), or Verdipapirsentralen ASA ("</w:t>
            </w:r>
            <w:r w:rsidRPr="00293B1F">
              <w:rPr>
                <w:b/>
                <w:bCs/>
                <w:iCs/>
              </w:rPr>
              <w:t>VPS</w:t>
            </w:r>
            <w:r w:rsidRPr="00293B1F">
              <w:rPr>
                <w:bCs/>
                <w:iCs/>
              </w:rPr>
              <w: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widowControl w:val="0"/>
              <w:rPr>
                <w:b/>
                <w:bCs/>
              </w:rPr>
            </w:pPr>
          </w:p>
        </w:tc>
        <w:tc>
          <w:tcPr>
            <w:tcW w:w="3688" w:type="pct"/>
            <w:tcBorders>
              <w:top w:val="nil"/>
              <w:bottom w:val="nil"/>
            </w:tcBorders>
          </w:tcPr>
          <w:p w:rsidR="00BC0214" w:rsidRPr="00293B1F" w:rsidP="005A5DB0">
            <w:pPr>
              <w:pStyle w:val="BodyText"/>
            </w:pPr>
            <w:r w:rsidRPr="00293B1F">
              <w:rPr>
                <w:b/>
                <w:bCs/>
                <w:i/>
                <w:iCs/>
              </w:rPr>
              <w:t>Security Identification Number(s):</w:t>
            </w:r>
            <w:r w:rsidRPr="00293B1F">
              <w:t xml:space="preserve">  In respect of each Tranche of Instruments, the relevant security identification number(s) will be specified in the relevant Final Terms.</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rPr>
            </w:pPr>
          </w:p>
        </w:tc>
        <w:tc>
          <w:tcPr>
            <w:tcW w:w="958" w:type="pct"/>
            <w:tcBorders>
              <w:top w:val="nil"/>
              <w:bottom w:val="single" w:sz="4" w:space="0" w:color="auto"/>
            </w:tcBorders>
          </w:tcPr>
          <w:p w:rsidR="00BC0214" w:rsidRPr="00293B1F" w:rsidP="00F3587A">
            <w:pPr>
              <w:pStyle w:val="BodyText"/>
              <w:widowControl w:val="0"/>
              <w:rPr>
                <w:b/>
                <w:bCs/>
              </w:rPr>
            </w:pPr>
          </w:p>
        </w:tc>
        <w:tc>
          <w:tcPr>
            <w:tcW w:w="3688" w:type="pct"/>
            <w:tcBorders>
              <w:top w:val="nil"/>
              <w:bottom w:val="single" w:sz="4" w:space="0" w:color="auto"/>
            </w:tcBorders>
          </w:tcPr>
          <w:p w:rsidR="00BC0214" w:rsidRPr="00293B1F" w:rsidP="005A5DB0">
            <w:pPr>
              <w:pStyle w:val="BodyText"/>
              <w:rPr>
                <w:b/>
                <w:bCs/>
                <w:i/>
                <w:iCs/>
              </w:rPr>
            </w:pPr>
            <w:r w:rsidRPr="00293B1F">
              <w:rPr>
                <w:i/>
                <w:iCs/>
              </w:rPr>
              <w:t>The Instruments will be [cleared/settled] through [•].  The Instruments have been assigned the following securities identifiers: [•].</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rPr>
            </w:pPr>
            <w:r w:rsidRPr="00293B1F">
              <w:rPr>
                <w:b/>
                <w:bCs/>
              </w:rPr>
              <w:t>C.2</w:t>
            </w:r>
          </w:p>
        </w:tc>
        <w:tc>
          <w:tcPr>
            <w:tcW w:w="958" w:type="pct"/>
            <w:tcBorders>
              <w:bottom w:val="nil"/>
            </w:tcBorders>
          </w:tcPr>
          <w:p w:rsidR="00BC0214" w:rsidRPr="00293B1F" w:rsidP="00F3587A">
            <w:pPr>
              <w:pStyle w:val="BodyText"/>
              <w:jc w:val="left"/>
              <w:rPr>
                <w:b/>
                <w:bCs/>
              </w:rPr>
            </w:pPr>
            <w:r w:rsidRPr="00293B1F">
              <w:rPr>
                <w:b/>
                <w:bCs/>
              </w:rPr>
              <w:t>Currency of the Securities Issue:</w:t>
            </w:r>
          </w:p>
        </w:tc>
        <w:tc>
          <w:tcPr>
            <w:tcW w:w="3688" w:type="pct"/>
            <w:tcBorders>
              <w:bottom w:val="nil"/>
            </w:tcBorders>
          </w:tcPr>
          <w:p w:rsidR="00BC0214" w:rsidRPr="00293B1F" w:rsidP="00F3587A">
            <w:pPr>
              <w:pStyle w:val="BodyText"/>
            </w:pPr>
            <w:r w:rsidRPr="00293B1F">
              <w:t xml:space="preserve">U.S. dollars, euro, sterling, Swedish Krona, Norwegian Krone, Danish Krone, Yen, Polish Zloty, Roubles, Hong Kong Dollars and/or such other currency or currencies as may be determined at the time of issuance, subject to compliance with all applicable legal and/or regulatory and/or central bank requirements.  </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rPr>
            </w:pPr>
          </w:p>
        </w:tc>
        <w:tc>
          <w:tcPr>
            <w:tcW w:w="958" w:type="pct"/>
            <w:tcBorders>
              <w:top w:val="nil"/>
              <w:bottom w:val="single" w:sz="4" w:space="0" w:color="auto"/>
            </w:tcBorders>
          </w:tcPr>
          <w:p w:rsidR="00BC0214" w:rsidRPr="00293B1F" w:rsidP="00F3587A">
            <w:pPr>
              <w:pStyle w:val="BodyText"/>
              <w:jc w:val="left"/>
              <w:rPr>
                <w:b/>
                <w:bCs/>
              </w:rPr>
            </w:pPr>
          </w:p>
        </w:tc>
        <w:tc>
          <w:tcPr>
            <w:tcW w:w="3688" w:type="pct"/>
            <w:tcBorders>
              <w:top w:val="nil"/>
              <w:bottom w:val="single" w:sz="4" w:space="0" w:color="auto"/>
            </w:tcBorders>
          </w:tcPr>
          <w:p w:rsidR="00BC0214" w:rsidRPr="00293B1F" w:rsidP="00F3587A">
            <w:pPr>
              <w:pStyle w:val="BodyText"/>
            </w:pPr>
            <w:r w:rsidRPr="00293B1F">
              <w:rPr>
                <w:i/>
                <w:iCs/>
              </w:rPr>
              <w:t>The currency of the Instruments is [•].</w:t>
            </w:r>
          </w:p>
        </w:tc>
      </w:tr>
      <w:tr w:rsidTr="00F3587A">
        <w:tblPrEx>
          <w:tblW w:w="5000" w:type="pct"/>
          <w:tblLook w:val="0000"/>
        </w:tblPrEx>
        <w:trPr>
          <w:cantSplit/>
          <w:trHeight w:val="882"/>
        </w:trPr>
        <w:tc>
          <w:tcPr>
            <w:tcW w:w="354" w:type="pct"/>
            <w:tcBorders>
              <w:bottom w:val="nil"/>
            </w:tcBorders>
          </w:tcPr>
          <w:p w:rsidR="00BC0214" w:rsidRPr="00293B1F" w:rsidP="00F3587A">
            <w:pPr>
              <w:pStyle w:val="BodyText"/>
              <w:rPr>
                <w:b/>
                <w:bCs/>
              </w:rPr>
            </w:pPr>
            <w:r w:rsidRPr="00293B1F">
              <w:rPr>
                <w:b/>
                <w:bCs/>
              </w:rPr>
              <w:t>C.5</w:t>
            </w:r>
          </w:p>
        </w:tc>
        <w:tc>
          <w:tcPr>
            <w:tcW w:w="958" w:type="pct"/>
            <w:tcBorders>
              <w:bottom w:val="nil"/>
            </w:tcBorders>
          </w:tcPr>
          <w:p w:rsidR="00BC0214" w:rsidRPr="00293B1F" w:rsidP="00F3587A">
            <w:pPr>
              <w:pStyle w:val="BodyText"/>
              <w:jc w:val="left"/>
              <w:rPr>
                <w:b/>
                <w:bCs/>
              </w:rPr>
            </w:pPr>
            <w:r w:rsidRPr="00293B1F">
              <w:rPr>
                <w:b/>
                <w:bCs/>
              </w:rPr>
              <w:t>Free Transferability:</w:t>
            </w:r>
          </w:p>
        </w:tc>
        <w:tc>
          <w:tcPr>
            <w:tcW w:w="3688" w:type="pct"/>
            <w:tcBorders>
              <w:bottom w:val="nil"/>
            </w:tcBorders>
          </w:tcPr>
          <w:p w:rsidR="00BC0214" w:rsidRPr="00293B1F" w:rsidP="00F3587A">
            <w:pPr>
              <w:pStyle w:val="BodyText"/>
            </w:pPr>
            <w:r w:rsidRPr="00293B1F">
              <w:t xml:space="preserve">This Base Prospectus contains a summary of certain selling restrictions in the United States, the European Economic Area, the United Kingdom, Denmark, Finland, Ireland, Norway and Sweden.  </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jc w:val="left"/>
              <w:rPr>
                <w:b/>
                <w:bCs/>
              </w:rPr>
            </w:pPr>
          </w:p>
        </w:tc>
        <w:tc>
          <w:tcPr>
            <w:tcW w:w="3688" w:type="pct"/>
            <w:tcBorders>
              <w:top w:val="nil"/>
              <w:bottom w:val="nil"/>
            </w:tcBorders>
          </w:tcPr>
          <w:p w:rsidR="00BC0214" w:rsidRPr="00293B1F" w:rsidP="00F3587A">
            <w:pPr>
              <w:pStyle w:val="BodyText"/>
            </w:pPr>
            <w:r w:rsidRPr="00293B1F">
              <w:t>The Instruments have not been and will not be registered under the United States Securities Act of 1933 (the "</w:t>
            </w:r>
            <w:r w:rsidRPr="00293B1F">
              <w:rPr>
                <w:b/>
                <w:bCs/>
              </w:rPr>
              <w:t>Securities Act</w:t>
            </w:r>
            <w:r w:rsidRPr="00293B1F">
              <w:t>") and may not be offered and sold within the United States or to, or for the account or benefit of U.S. persons except in certain transactions exempt from the registration requirements of the Securities Act.</w:t>
            </w:r>
          </w:p>
        </w:tc>
      </w:tr>
      <w:tr w:rsidTr="00A848AF">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rPr>
            </w:pPr>
          </w:p>
        </w:tc>
        <w:tc>
          <w:tcPr>
            <w:tcW w:w="958" w:type="pct"/>
            <w:tcBorders>
              <w:top w:val="nil"/>
              <w:bottom w:val="single" w:sz="4" w:space="0" w:color="auto"/>
            </w:tcBorders>
          </w:tcPr>
          <w:p w:rsidR="00BC0214" w:rsidRPr="00293B1F" w:rsidP="00F3587A">
            <w:pPr>
              <w:pStyle w:val="BodyText"/>
              <w:jc w:val="left"/>
              <w:rPr>
                <w:b/>
                <w:bCs/>
              </w:rPr>
            </w:pPr>
          </w:p>
        </w:tc>
        <w:tc>
          <w:tcPr>
            <w:tcW w:w="3688" w:type="pct"/>
            <w:tcBorders>
              <w:top w:val="nil"/>
              <w:bottom w:val="single" w:sz="4" w:space="0" w:color="auto"/>
            </w:tcBorders>
          </w:tcPr>
          <w:p w:rsidR="00BC0214" w:rsidRPr="00293B1F" w:rsidP="00E86D1C">
            <w:pPr>
              <w:pStyle w:val="BodyText"/>
            </w:pPr>
            <w:r w:rsidRPr="00293B1F">
              <w:t>In relation to each Member State of the European Economic Area which has implemented the Prospectus Directive, including the Kingdom of Sweden (each, a "</w:t>
            </w:r>
            <w:r w:rsidRPr="00293B1F">
              <w:rPr>
                <w:b/>
                <w:bCs/>
              </w:rPr>
              <w:t>Relevant Member State</w:t>
            </w:r>
            <w:r w:rsidRPr="00293B1F">
              <w:t>"), each Authorised Offeror will be required to represent and agree, that with effect from and including the date on which the Prospectus Directive is implemented in that Relevant Member State (the "</w:t>
            </w:r>
            <w:r w:rsidRPr="00293B1F">
              <w:rPr>
                <w:b/>
                <w:bCs/>
              </w:rPr>
              <w:t>Relevant Implementation Date</w:t>
            </w:r>
            <w:r w:rsidRPr="00293B1F">
              <w:t>") it has not made and will not make an offer of Instruments to the public in that Relevant Member State except with the consent of the Issuer</w:t>
            </w:r>
            <w:r>
              <w:rPr>
                <w:rStyle w:val="FootnoteReference"/>
                <w:bCs/>
              </w:rPr>
              <w:footnoteReference w:id="11"/>
            </w:r>
            <w:r w:rsidRPr="00293B1F">
              <w:t xml:space="preserve"> given in accordance with Element A.2 above.</w:t>
            </w:r>
          </w:p>
        </w:tc>
      </w:tr>
      <w:tr w:rsidTr="00A848AF">
        <w:tblPrEx>
          <w:tblW w:w="5000" w:type="pct"/>
          <w:tblLook w:val="0000"/>
        </w:tblPrEx>
        <w:trPr>
          <w:cantSplit/>
        </w:trPr>
        <w:tc>
          <w:tcPr>
            <w:tcW w:w="354" w:type="pct"/>
            <w:tcBorders>
              <w:top w:val="single" w:sz="4" w:space="0" w:color="auto"/>
              <w:bottom w:val="single" w:sz="4" w:space="0" w:color="auto"/>
            </w:tcBorders>
          </w:tcPr>
          <w:p w:rsidR="00BC0214" w:rsidRPr="00293B1F" w:rsidP="00F3587A">
            <w:pPr>
              <w:pStyle w:val="BodyText"/>
              <w:rPr>
                <w:b/>
                <w:bCs/>
              </w:rPr>
            </w:pPr>
          </w:p>
        </w:tc>
        <w:tc>
          <w:tcPr>
            <w:tcW w:w="958" w:type="pct"/>
            <w:tcBorders>
              <w:top w:val="single" w:sz="4" w:space="0" w:color="auto"/>
              <w:bottom w:val="single" w:sz="4" w:space="0" w:color="auto"/>
            </w:tcBorders>
          </w:tcPr>
          <w:p w:rsidR="00BC0214" w:rsidRPr="00293B1F" w:rsidP="00F3587A">
            <w:pPr>
              <w:pStyle w:val="BodyText"/>
              <w:jc w:val="left"/>
              <w:rPr>
                <w:b/>
                <w:bCs/>
              </w:rPr>
            </w:pPr>
          </w:p>
        </w:tc>
        <w:tc>
          <w:tcPr>
            <w:tcW w:w="3688" w:type="pct"/>
            <w:tcBorders>
              <w:top w:val="single" w:sz="4" w:space="0" w:color="auto"/>
              <w:bottom w:val="single" w:sz="4" w:space="0" w:color="auto"/>
            </w:tcBorders>
          </w:tcPr>
          <w:p w:rsidR="00BC0214" w:rsidRPr="00293B1F" w:rsidP="00F3587A">
            <w:pPr>
              <w:pStyle w:val="BodyText"/>
            </w:pPr>
            <w:r w:rsidRPr="00293B1F">
              <w:t>Each Authorised Offeror will be required to represent and agree that it has complied and will comply with all applicable provisions of the Financial Services and Markets Act 2000 (the "</w:t>
            </w:r>
            <w:r w:rsidRPr="00293B1F">
              <w:rPr>
                <w:b/>
                <w:bCs/>
              </w:rPr>
              <w:t>FSMA</w:t>
            </w:r>
            <w:r w:rsidRPr="00293B1F">
              <w:t>") with respect to anything done by it in relation to any Instruments in, from or otherwise involving the United Kingdom.</w:t>
            </w:r>
          </w:p>
        </w:tc>
      </w:tr>
      <w:tr w:rsidTr="00F3587A">
        <w:tblPrEx>
          <w:tblW w:w="5000" w:type="pct"/>
          <w:tblLook w:val="0000"/>
        </w:tblPrEx>
        <w:trPr>
          <w:cantSplit/>
          <w:trHeight w:val="2166"/>
        </w:trPr>
        <w:tc>
          <w:tcPr>
            <w:tcW w:w="354" w:type="pct"/>
            <w:tcBorders>
              <w:top w:val="single" w:sz="4" w:space="0" w:color="auto"/>
              <w:bottom w:val="nil"/>
            </w:tcBorders>
          </w:tcPr>
          <w:p w:rsidR="00BC0214" w:rsidRPr="00293B1F" w:rsidP="00F3587A">
            <w:pPr>
              <w:pStyle w:val="BodyText"/>
              <w:widowControl w:val="0"/>
              <w:rPr>
                <w:b/>
                <w:bCs/>
              </w:rPr>
            </w:pPr>
          </w:p>
        </w:tc>
        <w:tc>
          <w:tcPr>
            <w:tcW w:w="958" w:type="pct"/>
            <w:tcBorders>
              <w:top w:val="single" w:sz="4" w:space="0" w:color="auto"/>
              <w:bottom w:val="nil"/>
            </w:tcBorders>
          </w:tcPr>
          <w:p w:rsidR="00BC0214" w:rsidRPr="00293B1F" w:rsidP="00F3587A">
            <w:pPr>
              <w:pStyle w:val="BodyText"/>
              <w:widowControl w:val="0"/>
              <w:jc w:val="left"/>
              <w:rPr>
                <w:b/>
                <w:bCs/>
              </w:rPr>
            </w:pPr>
          </w:p>
        </w:tc>
        <w:tc>
          <w:tcPr>
            <w:tcW w:w="3688" w:type="pct"/>
            <w:tcBorders>
              <w:top w:val="single" w:sz="4" w:space="0" w:color="auto"/>
              <w:bottom w:val="nil"/>
            </w:tcBorders>
          </w:tcPr>
          <w:p w:rsidR="00BC0214" w:rsidRPr="00293B1F" w:rsidP="005A5DB0">
            <w:pPr>
              <w:pStyle w:val="BodyText"/>
            </w:pPr>
            <w:r w:rsidRPr="00293B1F">
              <w:t>Each Authorised Offeror will be required to represent and agree, in respect of any offers or sales of Instruments in Ireland, that it will comply with: the provisions of the European Communities (Markets in Financial Instruments) Regulations 2007 (Nos. 1 to 3) (as amended), including, without limitation, Regulations 7 and 152 thereof or any codes of conduct used in connection therewith and the provisions of the Investor Compensation Act 1998; the provisions of the Companies Acts 2014, the Central Bank Acts 1942 to 2014 (as amended) and any codes of conduct rules made under Section 117(1) of the Central Bank Act 1989; and the provisions of the Market Abuse (Directive 2003/6/EC) Regulations 2005 (as amended) and any rules issued under Section 1370 of the Companies Act 2014.</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jc w:val="left"/>
              <w:rPr>
                <w:b/>
                <w:bCs/>
              </w:rPr>
            </w:pPr>
          </w:p>
        </w:tc>
        <w:tc>
          <w:tcPr>
            <w:tcW w:w="3688" w:type="pct"/>
            <w:tcBorders>
              <w:top w:val="nil"/>
              <w:bottom w:val="nil"/>
            </w:tcBorders>
          </w:tcPr>
          <w:p w:rsidR="00BC0214" w:rsidRPr="00293B1F" w:rsidP="00F3587A">
            <w:pPr>
              <w:pStyle w:val="BodyText"/>
            </w:pPr>
            <w:r w:rsidRPr="00293B1F">
              <w:t>Each Authorised Offeror will be required to represent and agree, that it has complied and will comply with all applicable provisions of the Estonian Securities Market Act with respect to anything done by it in relation to any Instruments in, from or otherwise involving Estonia.</w:t>
            </w:r>
          </w:p>
          <w:p w:rsidR="00BC0214" w:rsidRPr="00293B1F" w:rsidP="00F3587A">
            <w:pPr>
              <w:pStyle w:val="BodyText"/>
            </w:pPr>
            <w:r w:rsidRPr="00293B1F">
              <w:t>Instruments which qualify as "derivative instruments" within the meaning of Section 2 of the SMA, Directive 2004/39/EC (MiFID Directive) and Commission Regulation No EC/1287/2006 (MiFID Implementation Regulation), all as amended from time to time, may only be offered in Estonia after assessment of the suitability and appropriateness of the relevant structured instrument to the investor in accordance with applicable Estonian and European Union law.</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jc w:val="left"/>
              <w:rPr>
                <w:b/>
                <w:bCs/>
              </w:rPr>
            </w:pPr>
          </w:p>
        </w:tc>
        <w:tc>
          <w:tcPr>
            <w:tcW w:w="3688" w:type="pct"/>
            <w:tcBorders>
              <w:top w:val="nil"/>
              <w:bottom w:val="nil"/>
            </w:tcBorders>
          </w:tcPr>
          <w:p w:rsidR="00BC0214" w:rsidRPr="00293B1F" w:rsidP="00F3587A">
            <w:pPr>
              <w:pStyle w:val="BodyText"/>
            </w:pPr>
            <w:r w:rsidRPr="00293B1F">
              <w:t>Each Authorised Offeror will be required to represent and agree, that the Instruments have not been offered and will not be offered in Lithuania by way of a public offering, unless in compliance with all applicable provisions of the laws of Lithuania and in particular in compliance with the Law on Securities of the Republic of Lithuania of 18 January 2007 No X-1023 and any regulation or rule made thereunder, as supplemented and amended from time to time.</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jc w:val="left"/>
              <w:rPr>
                <w:b/>
                <w:bCs/>
              </w:rPr>
            </w:pPr>
          </w:p>
        </w:tc>
        <w:tc>
          <w:tcPr>
            <w:tcW w:w="3688" w:type="pct"/>
            <w:tcBorders>
              <w:top w:val="nil"/>
              <w:bottom w:val="nil"/>
            </w:tcBorders>
          </w:tcPr>
          <w:p w:rsidR="00BC0214" w:rsidRPr="00293B1F" w:rsidP="00F3587A">
            <w:pPr>
              <w:pStyle w:val="BodyText"/>
              <w:rPr>
                <w:b/>
                <w:bCs/>
              </w:rPr>
            </w:pPr>
            <w:r w:rsidRPr="00293B1F">
              <w:t>Each Authorised Offeror will be required to represent and agree, that the Instruments have not been offered and will not be offered in Latvia by way of a public offering, unless in compliance with all applicable provisions of the laws of Latvia and in particular in compliance with the Financial Instruments Market Law (</w:t>
            </w:r>
            <w:r w:rsidRPr="00293B1F">
              <w:rPr>
                <w:i/>
              </w:rPr>
              <w:t>Finanšu instrumentu tirgus likums</w:t>
            </w:r>
            <w:r w:rsidRPr="00293B1F">
              <w:t>) and any regulation or rule made thereunder, as supplemented and amended from time to time.</w:t>
            </w:r>
          </w:p>
        </w:tc>
      </w:tr>
      <w:tr w:rsidTr="00A848AF">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rPr>
            </w:pPr>
          </w:p>
        </w:tc>
        <w:tc>
          <w:tcPr>
            <w:tcW w:w="958" w:type="pct"/>
            <w:tcBorders>
              <w:top w:val="nil"/>
              <w:bottom w:val="single" w:sz="4" w:space="0" w:color="auto"/>
            </w:tcBorders>
          </w:tcPr>
          <w:p w:rsidR="00BC0214" w:rsidRPr="00293B1F" w:rsidP="00F3587A">
            <w:pPr>
              <w:pStyle w:val="BodyText"/>
              <w:jc w:val="left"/>
              <w:rPr>
                <w:b/>
                <w:bCs/>
              </w:rPr>
            </w:pPr>
          </w:p>
        </w:tc>
        <w:tc>
          <w:tcPr>
            <w:tcW w:w="3688" w:type="pct"/>
            <w:tcBorders>
              <w:top w:val="nil"/>
              <w:bottom w:val="single" w:sz="4" w:space="0" w:color="auto"/>
            </w:tcBorders>
          </w:tcPr>
          <w:p w:rsidR="00BC0214" w:rsidRPr="00293B1F" w:rsidP="00F3587A">
            <w:pPr>
              <w:pStyle w:val="BodyText"/>
            </w:pPr>
            <w:bookmarkStart w:id="5" w:name="_Toc431851522"/>
            <w:r w:rsidRPr="00293B1F">
              <w:t>Each Authorised Offeror will be required to represent and agree, that it has not offered or sold and will not offer, sell or deliver any of the Instruments directly or indirectly in the Kingdom of Denmark by way of public offering, unless in compliance with the Danish Securities Trading etc. Act (</w:t>
            </w:r>
            <w:r w:rsidRPr="00293B1F">
              <w:rPr>
                <w:i/>
                <w:iCs/>
              </w:rPr>
              <w:t>Værdipapirhandelsloven</w:t>
            </w:r>
            <w:r w:rsidRPr="00293B1F">
              <w:t>), as amended from time to time, and Executive Orders issued thereunder.</w:t>
            </w:r>
            <w:bookmarkEnd w:id="5"/>
          </w:p>
        </w:tc>
      </w:tr>
      <w:tr w:rsidTr="00A848AF">
        <w:tblPrEx>
          <w:tblW w:w="5000" w:type="pct"/>
          <w:tblLook w:val="0000"/>
        </w:tblPrEx>
        <w:trPr>
          <w:cantSplit/>
        </w:trPr>
        <w:tc>
          <w:tcPr>
            <w:tcW w:w="354" w:type="pct"/>
            <w:tcBorders>
              <w:top w:val="single" w:sz="4" w:space="0" w:color="auto"/>
              <w:bottom w:val="single" w:sz="4" w:space="0" w:color="auto"/>
            </w:tcBorders>
          </w:tcPr>
          <w:p w:rsidR="00BC0214" w:rsidRPr="00293B1F" w:rsidP="00F3587A">
            <w:pPr>
              <w:pStyle w:val="BodyText"/>
              <w:rPr>
                <w:b/>
                <w:bCs/>
              </w:rPr>
            </w:pPr>
          </w:p>
        </w:tc>
        <w:tc>
          <w:tcPr>
            <w:tcW w:w="958" w:type="pct"/>
            <w:tcBorders>
              <w:top w:val="single" w:sz="4" w:space="0" w:color="auto"/>
              <w:bottom w:val="single" w:sz="4" w:space="0" w:color="auto"/>
            </w:tcBorders>
          </w:tcPr>
          <w:p w:rsidR="00BC0214" w:rsidRPr="00293B1F" w:rsidP="00F3587A">
            <w:pPr>
              <w:pStyle w:val="BodyText"/>
              <w:jc w:val="left"/>
              <w:rPr>
                <w:b/>
                <w:bCs/>
              </w:rPr>
            </w:pPr>
          </w:p>
        </w:tc>
        <w:tc>
          <w:tcPr>
            <w:tcW w:w="3688" w:type="pct"/>
            <w:tcBorders>
              <w:top w:val="single" w:sz="4" w:space="0" w:color="auto"/>
              <w:bottom w:val="single" w:sz="4" w:space="0" w:color="auto"/>
            </w:tcBorders>
          </w:tcPr>
          <w:p w:rsidR="00BC0214" w:rsidRPr="00293B1F" w:rsidP="00F3587A">
            <w:pPr>
              <w:pStyle w:val="BodyText"/>
            </w:pPr>
            <w:r w:rsidRPr="00293B1F">
              <w:t>Each Authorised Offeror will be required to represent and agree, that it will not publicly offer the Instruments or bring the Instruments into general circulation in Finland other than in compliance with all applicable provisions of the laws of Finland and especially in compliance with the Finnish Securities Market Act (495/1989) and any regulation or rule made thereunder, as supplemented and amended from time to time.</w:t>
            </w:r>
          </w:p>
        </w:tc>
      </w:tr>
      <w:tr w:rsidTr="00F3587A">
        <w:tblPrEx>
          <w:tblW w:w="5000" w:type="pct"/>
          <w:tblLook w:val="0000"/>
        </w:tblPrEx>
        <w:trPr>
          <w:cantSplit/>
        </w:trPr>
        <w:tc>
          <w:tcPr>
            <w:tcW w:w="354" w:type="pct"/>
            <w:tcBorders>
              <w:top w:val="single" w:sz="4" w:space="0" w:color="auto"/>
              <w:bottom w:val="single" w:sz="4" w:space="0" w:color="auto"/>
            </w:tcBorders>
          </w:tcPr>
          <w:p w:rsidR="00BC0214" w:rsidRPr="00293B1F" w:rsidP="00F3587A">
            <w:pPr>
              <w:pStyle w:val="BodyText"/>
              <w:rPr>
                <w:b/>
                <w:bCs/>
              </w:rPr>
            </w:pPr>
          </w:p>
        </w:tc>
        <w:tc>
          <w:tcPr>
            <w:tcW w:w="958" w:type="pct"/>
            <w:tcBorders>
              <w:top w:val="single" w:sz="4" w:space="0" w:color="auto"/>
              <w:bottom w:val="single" w:sz="4" w:space="0" w:color="auto"/>
            </w:tcBorders>
          </w:tcPr>
          <w:p w:rsidR="00BC0214" w:rsidRPr="00293B1F" w:rsidP="00F3587A">
            <w:pPr>
              <w:pStyle w:val="BodyText"/>
              <w:jc w:val="left"/>
              <w:rPr>
                <w:b/>
                <w:bCs/>
              </w:rPr>
            </w:pPr>
          </w:p>
        </w:tc>
        <w:tc>
          <w:tcPr>
            <w:tcW w:w="3688" w:type="pct"/>
            <w:tcBorders>
              <w:top w:val="single" w:sz="4" w:space="0" w:color="auto"/>
              <w:bottom w:val="single" w:sz="4" w:space="0" w:color="auto"/>
            </w:tcBorders>
          </w:tcPr>
          <w:p w:rsidR="00BC0214" w:rsidRPr="00293B1F" w:rsidP="00F3587A">
            <w:pPr>
              <w:pStyle w:val="BodyText"/>
            </w:pPr>
            <w:r w:rsidRPr="00293B1F">
              <w:t>Each Authorised Offeror will be required to represent and agree, that it will comply with all laws, regulations and guidelines applicable to the offering of Instruments in Norway.</w:t>
            </w:r>
            <w:r w:rsidRPr="00293B1F">
              <w:rPr>
                <w:iCs/>
              </w:rPr>
              <w:t xml:space="preserve"> Instruments denominated in Norwegian Krone may not be offered or sold within Norway or to or for the account or benefit of persons domiciled in Norway, unless the regulation relating to the offer of VPS Instruments and the registration in the VPS has been complied with.</w:t>
            </w:r>
          </w:p>
        </w:tc>
      </w:tr>
      <w:tr w:rsidTr="00F3587A">
        <w:tblPrEx>
          <w:tblW w:w="5000" w:type="pct"/>
          <w:tblLook w:val="0000"/>
        </w:tblPrEx>
        <w:trPr>
          <w:cantSplit/>
        </w:trPr>
        <w:tc>
          <w:tcPr>
            <w:tcW w:w="354" w:type="pct"/>
            <w:vMerge w:val="restart"/>
            <w:tcBorders>
              <w:bottom w:val="nil"/>
            </w:tcBorders>
          </w:tcPr>
          <w:p w:rsidR="00BC0214" w:rsidRPr="00293B1F" w:rsidP="00F3587A">
            <w:pPr>
              <w:pStyle w:val="BodyText"/>
              <w:keepNext/>
              <w:rPr>
                <w:b/>
                <w:bCs/>
              </w:rPr>
            </w:pPr>
            <w:r w:rsidRPr="00293B1F">
              <w:rPr>
                <w:b/>
                <w:bCs/>
              </w:rPr>
              <w:t>C.8</w:t>
            </w:r>
          </w:p>
        </w:tc>
        <w:tc>
          <w:tcPr>
            <w:tcW w:w="958" w:type="pct"/>
            <w:vMerge w:val="restart"/>
            <w:tcBorders>
              <w:bottom w:val="nil"/>
            </w:tcBorders>
          </w:tcPr>
          <w:p w:rsidR="00BC0214" w:rsidRPr="00293B1F" w:rsidP="00F3587A">
            <w:pPr>
              <w:pStyle w:val="BodyText"/>
              <w:jc w:val="left"/>
              <w:rPr>
                <w:b/>
                <w:bCs/>
              </w:rPr>
            </w:pPr>
            <w:r w:rsidRPr="00293B1F">
              <w:rPr>
                <w:b/>
                <w:bCs/>
              </w:rPr>
              <w:t>The Rights Attaching to the Securities, including Ranking and Limitations to those Rights:</w:t>
            </w:r>
          </w:p>
        </w:tc>
        <w:tc>
          <w:tcPr>
            <w:tcW w:w="3688" w:type="pct"/>
            <w:tcBorders>
              <w:bottom w:val="nil"/>
            </w:tcBorders>
          </w:tcPr>
          <w:p w:rsidR="00BC0214" w:rsidRPr="00293B1F" w:rsidP="00E86D1C">
            <w:pPr>
              <w:pStyle w:val="BodyText"/>
            </w:pPr>
            <w:r w:rsidRPr="00293B1F">
              <w:rPr>
                <w:b/>
                <w:bCs/>
                <w:i/>
                <w:iCs/>
              </w:rPr>
              <w:t>Status of the Instruments:</w:t>
            </w:r>
            <w:r w:rsidRPr="00293B1F">
              <w:t xml:space="preserve">  The Instruments constitute unsecured and unsubordinated obligations of the Issuer</w:t>
            </w:r>
            <w:r>
              <w:rPr>
                <w:rStyle w:val="FootnoteReference"/>
              </w:rPr>
              <w:footnoteReference w:id="12"/>
            </w:r>
            <w:r w:rsidRPr="00293B1F">
              <w:t xml:space="preserve"> and rank </w:t>
            </w:r>
            <w:r w:rsidRPr="00293B1F">
              <w:rPr>
                <w:i/>
                <w:iCs/>
              </w:rPr>
              <w:t>pari passu</w:t>
            </w:r>
            <w:r w:rsidRPr="00293B1F">
              <w:t xml:space="preserve"> without any preference among themselves and at least </w:t>
            </w:r>
            <w:r w:rsidRPr="00293B1F">
              <w:rPr>
                <w:i/>
                <w:iCs/>
              </w:rPr>
              <w:t>pari passu</w:t>
            </w:r>
            <w:r w:rsidRPr="00293B1F">
              <w:t xml:space="preserve"> with all other outstanding unsecured and unsubordinated obligations of the Issuer, present and future.</w:t>
            </w:r>
          </w:p>
        </w:tc>
      </w:tr>
      <w:tr w:rsidTr="00F3587A">
        <w:tblPrEx>
          <w:tblW w:w="5000" w:type="pct"/>
          <w:tblLook w:val="0000"/>
        </w:tblPrEx>
        <w:trPr>
          <w:cantSplit/>
        </w:trPr>
        <w:tc>
          <w:tcPr>
            <w:tcW w:w="354" w:type="pct"/>
            <w:vMerge/>
            <w:tcBorders>
              <w:bottom w:val="nil"/>
            </w:tcBorders>
          </w:tcPr>
          <w:p w:rsidR="00BC0214" w:rsidRPr="00293B1F" w:rsidP="00F3587A">
            <w:pPr>
              <w:pStyle w:val="BodyText"/>
              <w:rPr>
                <w:b/>
                <w:bCs/>
              </w:rPr>
            </w:pPr>
          </w:p>
        </w:tc>
        <w:tc>
          <w:tcPr>
            <w:tcW w:w="958" w:type="pct"/>
            <w:vMerge/>
            <w:tcBorders>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rPr>
                <w:b/>
                <w:bCs/>
                <w:i/>
                <w:iCs/>
              </w:rPr>
            </w:pPr>
            <w:r w:rsidRPr="00293B1F">
              <w:rPr>
                <w:b/>
                <w:bCs/>
                <w:i/>
                <w:iCs/>
              </w:rPr>
              <w:t>Negative Pledge:</w:t>
            </w:r>
            <w:r w:rsidRPr="00293B1F">
              <w:rPr>
                <w:b/>
                <w:bCs/>
              </w:rPr>
              <w:t xml:space="preserve">  </w:t>
            </w:r>
            <w:r w:rsidRPr="00293B1F">
              <w:t>None.</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pPr>
            <w:r w:rsidRPr="00293B1F">
              <w:rPr>
                <w:b/>
                <w:bCs/>
                <w:i/>
                <w:iCs/>
              </w:rPr>
              <w:t>Cross Default:</w:t>
            </w:r>
            <w:r w:rsidRPr="00293B1F">
              <w:rPr>
                <w:b/>
                <w:bCs/>
              </w:rPr>
              <w:t xml:space="preserve">  </w:t>
            </w:r>
            <w:r w:rsidRPr="00293B1F">
              <w:t>None.</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735241">
            <w:pPr>
              <w:pStyle w:val="BodyText"/>
              <w:rPr>
                <w:b/>
                <w:bCs/>
                <w:i/>
                <w:iCs/>
              </w:rPr>
            </w:pPr>
            <w:r w:rsidRPr="00293B1F">
              <w:rPr>
                <w:b/>
                <w:bCs/>
                <w:i/>
                <w:iCs/>
              </w:rPr>
              <w:t xml:space="preserve">Early Termination: </w:t>
            </w:r>
            <w:r w:rsidRPr="00293B1F">
              <w:rPr>
                <w:bCs/>
                <w:iCs/>
              </w:rPr>
              <w:t>The Issuer</w:t>
            </w:r>
            <w:r w:rsidR="00735241">
              <w:rPr>
                <w:bCs/>
                <w:iCs/>
                <w:vertAlign w:val="superscript"/>
              </w:rPr>
              <w:t>11</w:t>
            </w:r>
            <w:r w:rsidRPr="00293B1F">
              <w:rPr>
                <w:bCs/>
                <w:iCs/>
              </w:rPr>
              <w:t xml:space="preserve"> may be entitled to terminate the Instruments prior to their scheduled maturity date in certain circumstances.  The holders may </w:t>
            </w:r>
            <w:r w:rsidRPr="005A5DB0">
              <w:t>also</w:t>
            </w:r>
            <w:r w:rsidRPr="00293B1F">
              <w:rPr>
                <w:bCs/>
                <w:iCs/>
              </w:rPr>
              <w:t xml:space="preserve"> be able to request early redemption of the Instruments, if applicable.</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rPr>
                <w:b/>
                <w:bCs/>
                <w:i/>
                <w:iCs/>
              </w:rPr>
            </w:pPr>
            <w:r w:rsidRPr="00293B1F">
              <w:rPr>
                <w:bCs/>
                <w:i/>
                <w:iCs/>
              </w:rPr>
              <w:t>The holders [are/are not] entitled to request early redemption of the Instruments.</w:t>
            </w:r>
            <w:r w:rsidRPr="00293B1F">
              <w:rPr>
                <w:bCs/>
                <w:iCs/>
              </w:rPr>
              <w:t xml:space="preserve">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pPr>
            <w:r w:rsidRPr="00293B1F">
              <w:rPr>
                <w:b/>
                <w:bCs/>
                <w:i/>
                <w:iCs/>
              </w:rPr>
              <w:t>Governing Law:</w:t>
            </w:r>
            <w:r w:rsidRPr="00293B1F">
              <w:t xml:space="preserve">  </w:t>
            </w:r>
            <w:r w:rsidRPr="00293B1F">
              <w:rPr>
                <w:bCs/>
                <w:iCs/>
              </w:rPr>
              <w:t xml:space="preserve">The Instruments and all non-contractual obligations arising out of or in connection with the Instruments are governed either by English law, Swedish law, Finnish law, Norwegian law or Danish law, except that </w:t>
            </w:r>
            <w:r w:rsidRPr="00293B1F">
              <w:rPr>
                <w:iCs/>
              </w:rPr>
              <w:t>(i) the registration of Instruments with Euroclear Sweden is governed by Swedish law, (ii) the registration of Instruments with Euroclear Finland is governed by Finnish law; (iii) the registration of Instruments with VP is governed by Danish law; and (iv) the registration of Instruments with VPS is governed by Norwegian law.</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F3587A">
            <w:pPr>
              <w:pStyle w:val="BodyText"/>
              <w:rPr>
                <w:b/>
                <w:bCs/>
                <w:i/>
                <w:iCs/>
              </w:rPr>
            </w:pPr>
            <w:r w:rsidRPr="00293B1F">
              <w:rPr>
                <w:i/>
                <w:iCs/>
              </w:rPr>
              <w:t>The Instruments are governed by [English law/ Finnish law/ Danish law/ Swedish law/ Norwegian law].</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rPr>
            </w:pPr>
          </w:p>
        </w:tc>
        <w:tc>
          <w:tcPr>
            <w:tcW w:w="958" w:type="pct"/>
            <w:tcBorders>
              <w:top w:val="nil"/>
              <w:bottom w:val="nil"/>
            </w:tcBorders>
          </w:tcPr>
          <w:p w:rsidR="00BC0214" w:rsidRPr="00293B1F" w:rsidP="00F3587A">
            <w:pPr>
              <w:pStyle w:val="BodyText"/>
              <w:rPr>
                <w:b/>
                <w:bCs/>
              </w:rPr>
            </w:pPr>
          </w:p>
        </w:tc>
        <w:tc>
          <w:tcPr>
            <w:tcW w:w="3688" w:type="pct"/>
            <w:tcBorders>
              <w:top w:val="nil"/>
              <w:bottom w:val="nil"/>
            </w:tcBorders>
          </w:tcPr>
          <w:p w:rsidR="00BC0214" w:rsidRPr="00293B1F" w:rsidP="00735241">
            <w:pPr>
              <w:pStyle w:val="BodyText"/>
              <w:rPr>
                <w:b/>
                <w:bCs/>
                <w:i/>
                <w:iCs/>
              </w:rPr>
            </w:pPr>
            <w:r w:rsidRPr="00293B1F">
              <w:rPr>
                <w:b/>
                <w:bCs/>
                <w:i/>
                <w:iCs/>
              </w:rPr>
              <w:t>Enforcement of Instruments in Global Form:</w:t>
            </w:r>
            <w:r w:rsidRPr="00293B1F">
              <w:rPr>
                <w:b/>
                <w:bCs/>
              </w:rPr>
              <w:t xml:space="preserve">  </w:t>
            </w:r>
            <w:r w:rsidRPr="00293B1F">
              <w:t>In the case of Global Instruments, individual investors' rights against the Issuer</w:t>
            </w:r>
            <w:r w:rsidRPr="00A848AF" w:rsidR="00A848AF">
              <w:rPr>
                <w:vertAlign w:val="superscript"/>
              </w:rPr>
              <w:t>1</w:t>
            </w:r>
            <w:r w:rsidR="00735241">
              <w:rPr>
                <w:vertAlign w:val="superscript"/>
              </w:rPr>
              <w:t>1</w:t>
            </w:r>
            <w:r w:rsidRPr="00293B1F">
              <w:t xml:space="preserve"> will be governed by a deed of covenant dated 1</w:t>
            </w:r>
            <w:r>
              <w:t>5</w:t>
            </w:r>
            <w:r w:rsidRPr="00293B1F">
              <w:t xml:space="preserve"> June 2016 (the "</w:t>
            </w:r>
            <w:r w:rsidRPr="00293B1F">
              <w:rPr>
                <w:b/>
                <w:bCs/>
              </w:rPr>
              <w:t>Deed of Covenant</w:t>
            </w:r>
            <w:r w:rsidRPr="00293B1F">
              <w:t>"), a copy of which will be available for inspection at the specified office of Citibank, N.A., London Branch as fiscal agent (the "</w:t>
            </w:r>
            <w:r w:rsidRPr="00293B1F">
              <w:rPr>
                <w:b/>
                <w:bCs/>
              </w:rPr>
              <w:t>Fiscal Agent</w:t>
            </w:r>
            <w:r w:rsidRPr="00293B1F">
              <w:t>").</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rPr>
            </w:pPr>
          </w:p>
        </w:tc>
        <w:tc>
          <w:tcPr>
            <w:tcW w:w="958" w:type="pct"/>
            <w:tcBorders>
              <w:top w:val="nil"/>
              <w:bottom w:val="single" w:sz="4" w:space="0" w:color="auto"/>
            </w:tcBorders>
          </w:tcPr>
          <w:p w:rsidR="00BC0214" w:rsidRPr="00293B1F" w:rsidP="00F3587A">
            <w:pPr>
              <w:pStyle w:val="BodyText"/>
              <w:rPr>
                <w:b/>
                <w:bCs/>
              </w:rPr>
            </w:pPr>
          </w:p>
        </w:tc>
        <w:tc>
          <w:tcPr>
            <w:tcW w:w="3688" w:type="pct"/>
            <w:tcBorders>
              <w:top w:val="nil"/>
              <w:bottom w:val="single" w:sz="4" w:space="0" w:color="auto"/>
            </w:tcBorders>
          </w:tcPr>
          <w:p w:rsidR="00BC0214" w:rsidRPr="00293B1F" w:rsidP="00F3587A">
            <w:pPr>
              <w:pStyle w:val="BodyText"/>
              <w:rPr>
                <w:bCs/>
                <w:iCs/>
              </w:rPr>
            </w:pPr>
            <w:r w:rsidRPr="00293B1F">
              <w:rPr>
                <w:bCs/>
                <w:i/>
                <w:iCs/>
              </w:rPr>
              <w:t>The Instruments [are/are not] Global Instruments</w:t>
            </w:r>
            <w:r w:rsidRPr="00293B1F">
              <w:rPr>
                <w:bCs/>
                <w:iCs/>
              </w:rPr>
              <w:t>.</w:t>
            </w:r>
          </w:p>
        </w:tc>
      </w:tr>
      <w:tr w:rsidTr="00F3587A">
        <w:tblPrEx>
          <w:tblW w:w="5000" w:type="pct"/>
          <w:tblLook w:val="0000"/>
        </w:tblPrEx>
        <w:trPr>
          <w:cantSplit/>
        </w:trPr>
        <w:tc>
          <w:tcPr>
            <w:tcW w:w="354" w:type="pct"/>
            <w:tcBorders>
              <w:bottom w:val="single" w:sz="4" w:space="0" w:color="auto"/>
            </w:tcBorders>
          </w:tcPr>
          <w:p w:rsidR="00BC0214" w:rsidRPr="00293B1F" w:rsidP="00F3587A">
            <w:pPr>
              <w:pStyle w:val="BodyText"/>
              <w:widowControl w:val="0"/>
              <w:rPr>
                <w:b/>
                <w:bCs/>
                <w:noProof/>
              </w:rPr>
            </w:pPr>
            <w:r w:rsidRPr="00293B1F">
              <w:rPr>
                <w:b/>
                <w:bCs/>
                <w:noProof/>
              </w:rPr>
              <w:t>C.11</w:t>
            </w:r>
          </w:p>
          <w:p w:rsidR="00BC0214" w:rsidRPr="00293B1F" w:rsidP="00F3587A">
            <w:pPr>
              <w:pStyle w:val="BodyText"/>
              <w:widowControl w:val="0"/>
              <w:rPr>
                <w:b/>
                <w:bCs/>
                <w:noProof/>
              </w:rPr>
            </w:pPr>
            <w:r w:rsidRPr="00293B1F">
              <w:rPr>
                <w:b/>
                <w:bCs/>
                <w:noProof/>
              </w:rPr>
              <w:t>C.21</w:t>
            </w:r>
          </w:p>
        </w:tc>
        <w:tc>
          <w:tcPr>
            <w:tcW w:w="958" w:type="pct"/>
            <w:tcBorders>
              <w:bottom w:val="single" w:sz="4" w:space="0" w:color="auto"/>
            </w:tcBorders>
          </w:tcPr>
          <w:p w:rsidR="00BC0214" w:rsidRPr="00293B1F" w:rsidP="00F3587A">
            <w:pPr>
              <w:pStyle w:val="BodyText"/>
              <w:widowControl w:val="0"/>
              <w:jc w:val="left"/>
              <w:rPr>
                <w:b/>
                <w:bCs/>
                <w:noProof/>
              </w:rPr>
            </w:pPr>
            <w:r w:rsidRPr="00293B1F">
              <w:rPr>
                <w:b/>
                <w:bCs/>
                <w:noProof/>
              </w:rPr>
              <w:t>Listing and Trading:</w:t>
            </w:r>
          </w:p>
        </w:tc>
        <w:tc>
          <w:tcPr>
            <w:tcW w:w="3688" w:type="pct"/>
            <w:tcBorders>
              <w:bottom w:val="single" w:sz="4" w:space="0" w:color="auto"/>
            </w:tcBorders>
          </w:tcPr>
          <w:p w:rsidR="00BC0214" w:rsidRPr="00293B1F" w:rsidP="00E86D1C">
            <w:pPr>
              <w:pStyle w:val="BodyText"/>
            </w:pPr>
            <w:r w:rsidRPr="00293B1F">
              <w:t xml:space="preserve">Applications have been made for Instruments to be admitted during the period of twelve months after the date hereof to listing on the official list and to trading on the regulated market of the Irish Stock Exchange.  </w:t>
            </w:r>
            <w:r w:rsidRPr="00293B1F">
              <w:rPr>
                <w:iCs/>
              </w:rPr>
              <w:t xml:space="preserve">Instruments may also be </w:t>
            </w:r>
            <w:r w:rsidRPr="005A5DB0">
              <w:t>listed</w:t>
            </w:r>
            <w:r w:rsidRPr="00293B1F">
              <w:rPr>
                <w:iCs/>
              </w:rPr>
              <w:t xml:space="preserve"> for trading on NASDAQ Stockholm, NASDAQ Helsinki, NASDAQ Copenhagen, Oslo Børs and Nordic Growth Market NGM AB – NDX (Nordic Derivatives Exchange).  </w:t>
            </w:r>
            <w:r w:rsidRPr="00293B1F">
              <w:t>The Programme also permits Instruments to be issued on the basis that they will not be admitted to listing, trading and/or quotation by any competent authority, stock exchange and/or quotation system or to be admitted to listing, trading and/or quotation by such other or further competent authorities, stock exchanges and/or quotation systems as may be agreed with the Issuer.</w:t>
            </w:r>
            <w:r>
              <w:rPr>
                <w:rStyle w:val="FootnoteReference"/>
              </w:rPr>
              <w:footnoteReference w:id="13"/>
            </w:r>
          </w:p>
        </w:tc>
      </w:tr>
      <w:tr w:rsidTr="00F3587A">
        <w:tblPrEx>
          <w:tblW w:w="5000" w:type="pct"/>
          <w:tblLook w:val="0000"/>
        </w:tblPrEx>
        <w:trPr>
          <w:cantSplit/>
        </w:trPr>
        <w:tc>
          <w:tcPr>
            <w:tcW w:w="354" w:type="pct"/>
            <w:tcBorders>
              <w:top w:val="single" w:sz="4" w:space="0" w:color="auto"/>
              <w:bottom w:val="single" w:sz="4" w:space="0" w:color="auto"/>
            </w:tcBorders>
          </w:tcPr>
          <w:p w:rsidR="00BC0214" w:rsidRPr="00293B1F" w:rsidP="00F3587A">
            <w:pPr>
              <w:pStyle w:val="BodyText"/>
              <w:widowControl w:val="0"/>
              <w:rPr>
                <w:b/>
                <w:bCs/>
                <w:noProof/>
              </w:rPr>
            </w:pPr>
          </w:p>
        </w:tc>
        <w:tc>
          <w:tcPr>
            <w:tcW w:w="958" w:type="pct"/>
            <w:tcBorders>
              <w:top w:val="single" w:sz="4" w:space="0" w:color="auto"/>
              <w:bottom w:val="single" w:sz="4" w:space="0" w:color="auto"/>
            </w:tcBorders>
          </w:tcPr>
          <w:p w:rsidR="00BC0214" w:rsidRPr="00293B1F" w:rsidP="00F3587A">
            <w:pPr>
              <w:pStyle w:val="BodyText"/>
              <w:widowControl w:val="0"/>
              <w:jc w:val="left"/>
              <w:rPr>
                <w:b/>
                <w:bCs/>
                <w:noProof/>
              </w:rPr>
            </w:pPr>
          </w:p>
        </w:tc>
        <w:tc>
          <w:tcPr>
            <w:tcW w:w="3688" w:type="pct"/>
            <w:tcBorders>
              <w:top w:val="single" w:sz="4" w:space="0" w:color="auto"/>
              <w:bottom w:val="single" w:sz="4" w:space="0" w:color="auto"/>
            </w:tcBorders>
          </w:tcPr>
          <w:p w:rsidR="00BC0214" w:rsidRPr="00293B1F" w:rsidP="00F3587A">
            <w:pPr>
              <w:pStyle w:val="BodyText"/>
              <w:rPr>
                <w:i/>
              </w:rPr>
            </w:pPr>
            <w:r w:rsidRPr="00293B1F">
              <w:rPr>
                <w:i/>
              </w:rPr>
              <w:t>The Instruments are unlisted Instruments/Application will be made for the Instruments to be admitted to listing on [•] and to trading on [•] effective as of [•].</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noProof/>
              </w:rPr>
            </w:pPr>
            <w:r w:rsidRPr="00293B1F">
              <w:rPr>
                <w:b/>
                <w:bCs/>
                <w:noProof/>
              </w:rPr>
              <w:t>C.15</w:t>
            </w:r>
          </w:p>
        </w:tc>
        <w:tc>
          <w:tcPr>
            <w:tcW w:w="958" w:type="pct"/>
            <w:tcBorders>
              <w:bottom w:val="nil"/>
            </w:tcBorders>
          </w:tcPr>
          <w:p w:rsidR="00BC0214" w:rsidRPr="00293B1F" w:rsidP="00F3587A">
            <w:pPr>
              <w:pStyle w:val="BodyText"/>
              <w:jc w:val="left"/>
              <w:rPr>
                <w:b/>
                <w:bCs/>
                <w:noProof/>
              </w:rPr>
            </w:pPr>
            <w:r w:rsidRPr="00293B1F">
              <w:rPr>
                <w:b/>
                <w:bCs/>
                <w:noProof/>
              </w:rPr>
              <w:t xml:space="preserve">Value of the Instruments and </w:t>
            </w:r>
            <w:r w:rsidRPr="00293B1F">
              <w:rPr>
                <w:b/>
                <w:bCs/>
              </w:rPr>
              <w:t>Value of the Underlying:</w:t>
            </w:r>
          </w:p>
        </w:tc>
        <w:tc>
          <w:tcPr>
            <w:tcW w:w="3688" w:type="pct"/>
            <w:tcBorders>
              <w:bottom w:val="nil"/>
            </w:tcBorders>
          </w:tcPr>
          <w:p w:rsidR="00BC0214" w:rsidRPr="00293B1F" w:rsidP="00F3587A">
            <w:pPr>
              <w:pStyle w:val="BodyText"/>
              <w:rPr>
                <w:iCs/>
              </w:rPr>
            </w:pPr>
            <w:r w:rsidRPr="00293B1F">
              <w:rPr>
                <w:b/>
                <w:i/>
                <w:iCs/>
              </w:rPr>
              <w:t>Instruments and underlying assets</w:t>
            </w:r>
            <w:r w:rsidRPr="00293B1F">
              <w:rPr>
                <w:iCs/>
              </w:rPr>
              <w:t>: The Instruments comprise securities in the form of warrants or certificates ("</w:t>
            </w:r>
            <w:r w:rsidRPr="00293B1F">
              <w:rPr>
                <w:b/>
                <w:iCs/>
              </w:rPr>
              <w:t>Instruments</w:t>
            </w:r>
            <w:r w:rsidRPr="00293B1F">
              <w:rPr>
                <w:iCs/>
              </w:rPr>
              <w:t xml:space="preserve">"). The value of the Instruments will be determined in light of the value of the underlying assets and the </w:t>
            </w:r>
            <w:r w:rsidRPr="005A5DB0">
              <w:t>performance</w:t>
            </w:r>
            <w:r w:rsidRPr="00293B1F">
              <w:rPr>
                <w:iCs/>
              </w:rPr>
              <w:t>, interest and yield structure(s) applicable to the Instruments.</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rPr>
            </w:pPr>
          </w:p>
        </w:tc>
        <w:tc>
          <w:tcPr>
            <w:tcW w:w="958" w:type="pct"/>
            <w:tcBorders>
              <w:top w:val="nil"/>
              <w:bottom w:val="nil"/>
            </w:tcBorders>
          </w:tcPr>
          <w:p w:rsidR="00BC0214" w:rsidRPr="00293B1F" w:rsidP="00F3587A">
            <w:pPr>
              <w:pStyle w:val="BodyText"/>
              <w:jc w:val="left"/>
              <w:rPr>
                <w:b/>
                <w:bCs/>
                <w:noProof/>
              </w:rPr>
            </w:pPr>
          </w:p>
        </w:tc>
        <w:tc>
          <w:tcPr>
            <w:tcW w:w="3688" w:type="pct"/>
            <w:tcBorders>
              <w:top w:val="nil"/>
              <w:bottom w:val="nil"/>
            </w:tcBorders>
          </w:tcPr>
          <w:p w:rsidR="00BC0214" w:rsidRPr="00293B1F" w:rsidP="00F3587A">
            <w:pPr>
              <w:pStyle w:val="BodyText"/>
              <w:rPr>
                <w:b/>
                <w:iCs/>
              </w:rPr>
            </w:pPr>
            <w:r w:rsidRPr="00293B1F">
              <w:rPr>
                <w:b/>
                <w:i/>
                <w:iCs/>
              </w:rPr>
              <w:t>The Underlying Asset(s) is/are</w:t>
            </w:r>
            <w:r w:rsidRPr="00293B1F">
              <w:rPr>
                <w:b/>
                <w:iCs/>
              </w:rPr>
              <w:t xml:space="preserve">: </w:t>
            </w:r>
            <w:r w:rsidRPr="00293B1F">
              <w:rPr>
                <w:i/>
                <w:iCs/>
              </w:rPr>
              <w:t>[share] [index] [depository receipt] [bond] [exchange rate] [commodity] [fund] [interest rate] [basket] [futures contract].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F3587A">
            <w:pPr>
              <w:pStyle w:val="BodyText"/>
              <w:rPr>
                <w:szCs w:val="20"/>
              </w:rPr>
            </w:pPr>
            <w:r w:rsidRPr="00293B1F">
              <w:rPr>
                <w:b/>
                <w:i/>
                <w:szCs w:val="20"/>
              </w:rPr>
              <w:t>Warrants</w:t>
            </w:r>
            <w:r w:rsidRPr="00293B1F">
              <w:rPr>
                <w:szCs w:val="20"/>
              </w:rPr>
              <w:t>:</w:t>
            </w:r>
            <w:r w:rsidRPr="00293B1F">
              <w:rPr>
                <w:b/>
                <w:szCs w:val="20"/>
              </w:rPr>
              <w:t xml:space="preserve"> </w:t>
            </w:r>
            <w:r w:rsidRPr="00293B1F">
              <w:rPr>
                <w:szCs w:val="20"/>
              </w:rPr>
              <w:t xml:space="preserve">A warrant is a financial instrument which provides investors with exposure to a particular underlying asset, e.g. a security or an index. Warrants </w:t>
            </w:r>
            <w:r w:rsidRPr="005A5DB0">
              <w:t>can</w:t>
            </w:r>
            <w:r w:rsidRPr="00293B1F">
              <w:rPr>
                <w:szCs w:val="20"/>
              </w:rPr>
              <w:t xml:space="preserve"> also be issued as Turbo Warrants, Market Warrants or MINI Futures, as described in greater detail below.</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F3587A">
            <w:pPr>
              <w:pStyle w:val="BodyText"/>
              <w:rPr>
                <w:iCs/>
                <w:szCs w:val="20"/>
              </w:rPr>
            </w:pPr>
            <w:r w:rsidRPr="00293B1F">
              <w:rPr>
                <w:iCs/>
                <w:szCs w:val="20"/>
              </w:rPr>
              <w:t xml:space="preserve">The structure of warrants is such that the performance of the underlying asset affects the value of the warrants and may lead to greater profits or losses on the </w:t>
            </w:r>
            <w:r w:rsidRPr="005A5DB0">
              <w:t>invested</w:t>
            </w:r>
            <w:r w:rsidRPr="00293B1F">
              <w:rPr>
                <w:iCs/>
                <w:szCs w:val="20"/>
              </w:rPr>
              <w:t xml:space="preserve"> capital than if the investment had been made directly in the underlying asset.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F3587A">
            <w:pPr>
              <w:pStyle w:val="BodyText"/>
              <w:rPr>
                <w:szCs w:val="20"/>
              </w:rPr>
            </w:pPr>
            <w:r w:rsidRPr="00293B1F">
              <w:rPr>
                <w:szCs w:val="20"/>
              </w:rPr>
              <w:t>The manner in which the Settlement Amount is calculated may differ for each warrant series. However, the following provisions are generally applicable:</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5A5DB0">
            <w:pPr>
              <w:pStyle w:val="BodyText"/>
              <w:ind w:left="720" w:hanging="720"/>
              <w:rPr>
                <w:szCs w:val="20"/>
                <w:lang w:eastAsia="sv-SE"/>
              </w:rPr>
            </w:pPr>
            <w:r w:rsidRPr="00293B1F">
              <w:rPr>
                <w:szCs w:val="20"/>
                <w:lang w:eastAsia="sv-SE"/>
              </w:rPr>
              <w:t>(i)</w:t>
            </w:r>
            <w:r w:rsidRPr="00293B1F">
              <w:rPr>
                <w:szCs w:val="20"/>
                <w:lang w:eastAsia="sv-SE"/>
              </w:rPr>
              <w:tab/>
              <w:t xml:space="preserve">With respect to Call Warrants, the value of the warrant on the expiration date is determined by the amount by which the price of the underlying asset exceeds the strike price for the warrant. An investor who purchases Call Warrants speculates on an increase in value of the underlying asset. </w:t>
            </w:r>
          </w:p>
        </w:tc>
      </w:tr>
      <w:tr w:rsidTr="00A848AF">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noProof/>
                <w:szCs w:val="20"/>
              </w:rPr>
            </w:pPr>
          </w:p>
        </w:tc>
        <w:tc>
          <w:tcPr>
            <w:tcW w:w="3688" w:type="pct"/>
            <w:tcBorders>
              <w:top w:val="nil"/>
              <w:bottom w:val="single" w:sz="4" w:space="0" w:color="auto"/>
            </w:tcBorders>
          </w:tcPr>
          <w:p w:rsidR="00BC0214" w:rsidRPr="00293B1F" w:rsidP="005A5DB0">
            <w:pPr>
              <w:pStyle w:val="BodyText"/>
              <w:ind w:left="720" w:hanging="720"/>
              <w:rPr>
                <w:szCs w:val="20"/>
                <w:lang w:eastAsia="sv-SE"/>
              </w:rPr>
            </w:pPr>
            <w:r w:rsidRPr="00293B1F">
              <w:rPr>
                <w:szCs w:val="20"/>
                <w:lang w:eastAsia="sv-SE"/>
              </w:rPr>
              <w:t>(ii)</w:t>
            </w:r>
            <w:r w:rsidRPr="00293B1F">
              <w:rPr>
                <w:szCs w:val="20"/>
                <w:lang w:eastAsia="sv-SE"/>
              </w:rPr>
              <w:tab/>
              <w:t xml:space="preserve">With respect to Put Warrants, the value of the warrant on the expiration date is determined by the amount by which the price of the </w:t>
            </w:r>
            <w:r w:rsidRPr="005A5DB0">
              <w:t>underlying</w:t>
            </w:r>
            <w:r w:rsidRPr="00293B1F">
              <w:rPr>
                <w:szCs w:val="20"/>
                <w:lang w:eastAsia="sv-SE"/>
              </w:rPr>
              <w:t xml:space="preserve"> asset is less than the strike price for the warrant. An investor who purchases Put Warrants speculates on a fall in the value of the underlying asset. </w:t>
            </w:r>
          </w:p>
        </w:tc>
      </w:tr>
      <w:tr w:rsidTr="00A848AF">
        <w:tblPrEx>
          <w:tblW w:w="5000" w:type="pct"/>
          <w:tblLook w:val="0000"/>
        </w:tblPrEx>
        <w:trPr>
          <w:cantSplit/>
        </w:trPr>
        <w:tc>
          <w:tcPr>
            <w:tcW w:w="354" w:type="pct"/>
            <w:tcBorders>
              <w:top w:val="single" w:sz="4" w:space="0" w:color="auto"/>
              <w:bottom w:val="nil"/>
            </w:tcBorders>
          </w:tcPr>
          <w:p w:rsidR="00BC0214" w:rsidRPr="00293B1F" w:rsidP="00F3587A">
            <w:pPr>
              <w:pStyle w:val="BodyText"/>
              <w:rPr>
                <w:b/>
                <w:bCs/>
                <w:noProof/>
                <w:szCs w:val="20"/>
              </w:rPr>
            </w:pPr>
          </w:p>
        </w:tc>
        <w:tc>
          <w:tcPr>
            <w:tcW w:w="958" w:type="pct"/>
            <w:tcBorders>
              <w:top w:val="single" w:sz="4" w:space="0" w:color="auto"/>
              <w:bottom w:val="nil"/>
            </w:tcBorders>
          </w:tcPr>
          <w:p w:rsidR="00BC0214" w:rsidRPr="00293B1F" w:rsidP="00F3587A">
            <w:pPr>
              <w:pStyle w:val="BodyText"/>
              <w:jc w:val="left"/>
              <w:rPr>
                <w:b/>
                <w:bCs/>
                <w:noProof/>
                <w:szCs w:val="20"/>
              </w:rPr>
            </w:pPr>
          </w:p>
        </w:tc>
        <w:tc>
          <w:tcPr>
            <w:tcW w:w="3688" w:type="pct"/>
            <w:tcBorders>
              <w:top w:val="single" w:sz="4" w:space="0" w:color="auto"/>
              <w:bottom w:val="nil"/>
            </w:tcBorders>
          </w:tcPr>
          <w:p w:rsidR="00BC0214" w:rsidRPr="00293B1F" w:rsidP="00765CFB">
            <w:pPr>
              <w:pStyle w:val="BodyText"/>
              <w:rPr>
                <w:szCs w:val="20"/>
                <w:lang w:eastAsia="sv-SE"/>
              </w:rPr>
            </w:pPr>
            <w:r w:rsidRPr="00293B1F">
              <w:rPr>
                <w:szCs w:val="20"/>
                <w:lang w:eastAsia="sv-SE"/>
              </w:rPr>
              <w:t xml:space="preserve">If an underlying asset becomes worthless, (for example, because the company which issued the underlying share has gone into bankruptcy), or if it </w:t>
            </w:r>
            <w:r w:rsidRPr="00765CFB">
              <w:rPr>
                <w:szCs w:val="20"/>
              </w:rPr>
              <w:t>does</w:t>
            </w:r>
            <w:r w:rsidRPr="00293B1F">
              <w:rPr>
                <w:szCs w:val="20"/>
                <w:lang w:eastAsia="sv-SE"/>
              </w:rPr>
              <w:t xml:space="preserve"> not show a sufficiently favourable performance (which can be positive or negative), the warrant will also become worthless and anyone who invested in the warrant will lose the entire capital invested.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b/>
                <w:i/>
                <w:szCs w:val="20"/>
                <w:lang w:eastAsia="sv-SE"/>
              </w:rPr>
              <w:t>Turbo Warrants</w:t>
            </w:r>
            <w:r w:rsidRPr="00293B1F">
              <w:rPr>
                <w:szCs w:val="20"/>
                <w:lang w:eastAsia="sv-SE"/>
              </w:rPr>
              <w:t xml:space="preserve"> are warrants that also include a barrier level, meaning that "Turbo Call Warrants" expire immediately if the underlying asset is listed at, or below, the barrier level, while "Turbo Put Warrants" expire immediately if the </w:t>
            </w:r>
            <w:r w:rsidRPr="00765CFB">
              <w:rPr>
                <w:szCs w:val="20"/>
              </w:rPr>
              <w:t>underlying</w:t>
            </w:r>
            <w:r w:rsidRPr="00293B1F">
              <w:rPr>
                <w:szCs w:val="20"/>
                <w:lang w:eastAsia="sv-SE"/>
              </w:rPr>
              <w:t xml:space="preserve"> asset is listed at, or above, the barrier level. In the event of the early expiration of Turbo Warrants, any Settlement Amount is paid out and the Turbo Warrant ceases to remain outstanding.</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b/>
                <w:i/>
                <w:szCs w:val="20"/>
                <w:lang w:eastAsia="sv-SE"/>
              </w:rPr>
              <w:t>MINI Futures</w:t>
            </w:r>
            <w:r w:rsidRPr="00293B1F">
              <w:rPr>
                <w:szCs w:val="20"/>
                <w:lang w:eastAsia="sv-SE"/>
              </w:rPr>
              <w:t xml:space="preserve"> are similar to Turbo Warrants but normally have a non-predetermined expiration </w:t>
            </w:r>
            <w:r w:rsidRPr="00765CFB">
              <w:rPr>
                <w:szCs w:val="20"/>
              </w:rPr>
              <w:t>date</w:t>
            </w:r>
            <w:r w:rsidRPr="00293B1F">
              <w:rPr>
                <w:szCs w:val="20"/>
                <w:lang w:eastAsia="sv-SE"/>
              </w:rPr>
              <w:t xml:space="preserve"> and a barrier which is structured differently to the barrier for a Turbo Warrant.</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b/>
                <w:i/>
                <w:szCs w:val="20"/>
                <w:lang w:eastAsia="sv-SE"/>
              </w:rPr>
              <w:t>Market Warrants</w:t>
            </w:r>
            <w:r w:rsidRPr="00293B1F">
              <w:rPr>
                <w:szCs w:val="20"/>
                <w:lang w:eastAsia="sv-SE"/>
              </w:rPr>
              <w:t xml:space="preserve"> are warrants which are issued as a primary markets transaction and often </w:t>
            </w:r>
            <w:r w:rsidRPr="00765CFB">
              <w:rPr>
                <w:szCs w:val="20"/>
              </w:rPr>
              <w:t>include</w:t>
            </w:r>
            <w:r w:rsidRPr="00293B1F">
              <w:rPr>
                <w:szCs w:val="20"/>
                <w:lang w:eastAsia="sv-SE"/>
              </w:rPr>
              <w:t xml:space="preserve"> an underlying amount which constitutes the basis for calculating </w:t>
            </w:r>
            <w:r w:rsidRPr="00765CFB">
              <w:rPr>
                <w:iCs/>
                <w:szCs w:val="20"/>
              </w:rPr>
              <w:t>any</w:t>
            </w:r>
            <w:r w:rsidRPr="00293B1F">
              <w:rPr>
                <w:szCs w:val="20"/>
                <w:lang w:eastAsia="sv-SE"/>
              </w:rPr>
              <w:t xml:space="preserve"> yield. Market Warrants may also include performance structures corresponding to those which otherwise relate to Certificates in accordance with the provisions below. In such a case, an investor in the warrant may lose all or part of the invested capital. Market Warrants may entitle the investor to redeem or receive the yield on the expiration date (European type), but may also be structured similarly to an American option, where the investor is entitled to request exercise during the term of the warrant.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b/>
                <w:i/>
                <w:szCs w:val="20"/>
                <w:lang w:eastAsia="sv-SE"/>
              </w:rPr>
              <w:t>Certificates</w:t>
            </w:r>
            <w:r w:rsidRPr="00293B1F">
              <w:rPr>
                <w:szCs w:val="20"/>
                <w:lang w:eastAsia="sv-SE"/>
              </w:rPr>
              <w:t xml:space="preserve">: Certificates are financial instruments which provide the investor with exposure to a particular underlying asset. Underlying assets can consist of, </w:t>
            </w:r>
            <w:r w:rsidRPr="00293B1F">
              <w:rPr>
                <w:i/>
                <w:iCs/>
                <w:szCs w:val="20"/>
                <w:lang w:eastAsia="sv-SE"/>
              </w:rPr>
              <w:t>inter alia</w:t>
            </w:r>
            <w:r w:rsidRPr="00293B1F">
              <w:rPr>
                <w:szCs w:val="20"/>
                <w:lang w:eastAsia="sv-SE"/>
              </w:rPr>
              <w:t xml:space="preserve">, shares or share indices, as well as other assets such as interest rates, currencies, </w:t>
            </w:r>
            <w:r w:rsidRPr="00765CFB">
              <w:rPr>
                <w:iCs/>
                <w:szCs w:val="20"/>
              </w:rPr>
              <w:t>commodities</w:t>
            </w:r>
            <w:r w:rsidRPr="00293B1F">
              <w:rPr>
                <w:szCs w:val="20"/>
                <w:lang w:eastAsia="sv-SE"/>
              </w:rPr>
              <w:t xml:space="preserve"> or a combination of such assets and baskets of such assets. In order to give a Certificate a specific yield profile a number of definitions are used. A Certificate is an instrument without principal-protection, and accordingly an investor may lose all or part of the principal invested.</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i/>
                <w:szCs w:val="20"/>
                <w:lang w:eastAsia="sv-SE"/>
              </w:rPr>
            </w:pPr>
            <w:r w:rsidRPr="00293B1F">
              <w:rPr>
                <w:i/>
                <w:szCs w:val="20"/>
                <w:lang w:eastAsia="sv-SE"/>
              </w:rPr>
              <w:t>The Instruments are: [Call/Put Warrants/Turbo Warrants/Mini Futures/Market Warrants/Certificates]</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b/>
                <w:i/>
                <w:szCs w:val="20"/>
                <w:lang w:eastAsia="sv-SE"/>
              </w:rPr>
              <w:t>Performance structures</w:t>
            </w:r>
            <w:r w:rsidRPr="00293B1F">
              <w:rPr>
                <w:i/>
                <w:szCs w:val="20"/>
                <w:lang w:eastAsia="sv-SE"/>
              </w:rPr>
              <w:t xml:space="preserve">: </w:t>
            </w:r>
            <w:r w:rsidRPr="00293B1F">
              <w:rPr>
                <w:iCs/>
                <w:szCs w:val="20"/>
                <w:lang w:eastAsia="sv-SE"/>
              </w:rPr>
              <w:t>The performance structures</w:t>
            </w:r>
            <w:r w:rsidRPr="00293B1F">
              <w:rPr>
                <w:i/>
                <w:szCs w:val="20"/>
                <w:lang w:eastAsia="sv-SE"/>
              </w:rPr>
              <w:t xml:space="preserve"> </w:t>
            </w:r>
            <w:r w:rsidRPr="00293B1F">
              <w:rPr>
                <w:szCs w:val="20"/>
                <w:lang w:eastAsia="sv-SE"/>
              </w:rPr>
              <w:t xml:space="preserve">which may be used for Certificates, Warrants </w:t>
            </w:r>
            <w:r w:rsidRPr="00765CFB">
              <w:rPr>
                <w:szCs w:val="20"/>
              </w:rPr>
              <w:t>and</w:t>
            </w:r>
            <w:r w:rsidRPr="00293B1F">
              <w:rPr>
                <w:szCs w:val="20"/>
                <w:lang w:eastAsia="sv-SE"/>
              </w:rPr>
              <w:t xml:space="preserve"> </w:t>
            </w:r>
            <w:r w:rsidRPr="00765CFB">
              <w:rPr>
                <w:iCs/>
                <w:szCs w:val="20"/>
              </w:rPr>
              <w:t>Market</w:t>
            </w:r>
            <w:r w:rsidRPr="00293B1F">
              <w:rPr>
                <w:szCs w:val="20"/>
                <w:lang w:eastAsia="sv-SE"/>
              </w:rPr>
              <w:t xml:space="preserve"> Warrants include, </w:t>
            </w:r>
            <w:r w:rsidRPr="00293B1F">
              <w:rPr>
                <w:i/>
                <w:iCs/>
                <w:szCs w:val="20"/>
                <w:lang w:eastAsia="sv-SE"/>
              </w:rPr>
              <w:t>inter alia</w:t>
            </w:r>
            <w:r w:rsidRPr="00293B1F">
              <w:rPr>
                <w:szCs w:val="20"/>
                <w:lang w:eastAsia="sv-SE"/>
              </w:rPr>
              <w:t>, the following:</w:t>
            </w:r>
          </w:p>
        </w:tc>
      </w:tr>
      <w:tr w:rsidTr="00A848AF">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noProof/>
                <w:szCs w:val="20"/>
              </w:rPr>
            </w:pPr>
          </w:p>
        </w:tc>
        <w:tc>
          <w:tcPr>
            <w:tcW w:w="3688" w:type="pct"/>
            <w:tcBorders>
              <w:top w:val="nil"/>
              <w:bottom w:val="single" w:sz="4" w:space="0" w:color="auto"/>
            </w:tcBorders>
          </w:tcPr>
          <w:p w:rsidR="00BC0214" w:rsidRPr="00293B1F" w:rsidP="00765CFB">
            <w:pPr>
              <w:pStyle w:val="BodyText"/>
              <w:rPr>
                <w:szCs w:val="20"/>
                <w:lang w:eastAsia="sv-SE"/>
              </w:rPr>
            </w:pPr>
            <w:r w:rsidRPr="00293B1F">
              <w:rPr>
                <w:i/>
                <w:szCs w:val="20"/>
                <w:lang w:eastAsia="sv-SE"/>
              </w:rPr>
              <w:t>"Base"-</w:t>
            </w:r>
            <w:r w:rsidRPr="00293B1F">
              <w:rPr>
                <w:szCs w:val="20"/>
                <w:lang w:eastAsia="sv-SE"/>
              </w:rPr>
              <w:t xml:space="preserve"> structures– The Base structure for calculating the performance of an Instrument is dependent on the change between the initial price and final price for one or </w:t>
            </w:r>
            <w:r w:rsidRPr="00765CFB">
              <w:rPr>
                <w:szCs w:val="20"/>
              </w:rPr>
              <w:t>more</w:t>
            </w:r>
            <w:r w:rsidRPr="00293B1F">
              <w:rPr>
                <w:szCs w:val="20"/>
                <w:lang w:eastAsia="sv-SE"/>
              </w:rPr>
              <w:t xml:space="preserve"> underlying assets. In order to reduce the risk that temporary fluctuations in value might result in a misleading calculation basis when calculating the final value of an Instrument, the final value is often determined as the </w:t>
            </w:r>
            <w:r w:rsidRPr="00765CFB">
              <w:rPr>
                <w:iCs/>
                <w:szCs w:val="20"/>
              </w:rPr>
              <w:t>average</w:t>
            </w:r>
            <w:r w:rsidRPr="00293B1F">
              <w:rPr>
                <w:szCs w:val="20"/>
                <w:lang w:eastAsia="sv-SE"/>
              </w:rPr>
              <w:t xml:space="preserve"> value of the underlying assets or benchmarks on a number of measurement dates during a determined period of time. However, there may be only one measurement date for a value of a benchmark during a determined period of time. </w:t>
            </w:r>
          </w:p>
        </w:tc>
      </w:tr>
      <w:tr w:rsidTr="00A848AF">
        <w:tblPrEx>
          <w:tblW w:w="5000" w:type="pct"/>
          <w:tblLook w:val="0000"/>
        </w:tblPrEx>
        <w:trPr>
          <w:cantSplit/>
        </w:trPr>
        <w:tc>
          <w:tcPr>
            <w:tcW w:w="354" w:type="pct"/>
            <w:tcBorders>
              <w:top w:val="single" w:sz="4" w:space="0" w:color="auto"/>
              <w:bottom w:val="nil"/>
            </w:tcBorders>
          </w:tcPr>
          <w:p w:rsidR="00BC0214" w:rsidRPr="00293B1F" w:rsidP="00F3587A">
            <w:pPr>
              <w:pStyle w:val="BodyText"/>
              <w:rPr>
                <w:b/>
                <w:bCs/>
                <w:noProof/>
                <w:szCs w:val="20"/>
              </w:rPr>
            </w:pPr>
          </w:p>
        </w:tc>
        <w:tc>
          <w:tcPr>
            <w:tcW w:w="958" w:type="pct"/>
            <w:tcBorders>
              <w:top w:val="single" w:sz="4" w:space="0" w:color="auto"/>
              <w:bottom w:val="nil"/>
            </w:tcBorders>
          </w:tcPr>
          <w:p w:rsidR="00BC0214" w:rsidRPr="00293B1F" w:rsidP="00F3587A">
            <w:pPr>
              <w:pStyle w:val="BodyText"/>
              <w:jc w:val="left"/>
              <w:rPr>
                <w:b/>
                <w:bCs/>
                <w:noProof/>
                <w:szCs w:val="20"/>
              </w:rPr>
            </w:pPr>
          </w:p>
        </w:tc>
        <w:tc>
          <w:tcPr>
            <w:tcW w:w="3688" w:type="pct"/>
            <w:tcBorders>
              <w:top w:val="single" w:sz="4" w:space="0" w:color="auto"/>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Max"</w:t>
            </w:r>
            <w:r w:rsidRPr="00293B1F">
              <w:rPr>
                <w:szCs w:val="20"/>
                <w:lang w:eastAsia="sv-SE"/>
              </w:rPr>
              <w:t xml:space="preserve"> structure – The max structure is based on the base structure but contains a predetermined maximum yield, i.e. a cap on the yield. The investor receives either the maximum yield or a yield which reflects the performance of the underlying </w:t>
            </w:r>
            <w:r w:rsidRPr="00765CFB">
              <w:rPr>
                <w:iCs/>
                <w:szCs w:val="20"/>
              </w:rPr>
              <w:t>asset</w:t>
            </w:r>
            <w:r w:rsidRPr="00293B1F">
              <w:rPr>
                <w:szCs w:val="20"/>
                <w:lang w:eastAsia="sv-SE"/>
              </w:rPr>
              <w:t xml:space="preserve">, whichever is lower. If the performance of the reference </w:t>
            </w:r>
            <w:r w:rsidRPr="00765CFB">
              <w:rPr>
                <w:szCs w:val="20"/>
              </w:rPr>
              <w:t>asset</w:t>
            </w:r>
            <w:r w:rsidRPr="00293B1F">
              <w:rPr>
                <w:szCs w:val="20"/>
                <w:lang w:eastAsia="sv-SE"/>
              </w:rPr>
              <w:t xml:space="preserve"> exceeds the predetermined maximum yield, the investor receives an amount corresponding to the maximum yield.</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Barrier"</w:t>
            </w:r>
            <w:r w:rsidRPr="00293B1F">
              <w:rPr>
                <w:szCs w:val="20"/>
                <w:lang w:eastAsia="sv-SE"/>
              </w:rPr>
              <w:t xml:space="preserve"> structure – This structure includes a fixed price which replaces the final </w:t>
            </w:r>
            <w:r w:rsidRPr="00765CFB">
              <w:rPr>
                <w:szCs w:val="20"/>
              </w:rPr>
              <w:t>price</w:t>
            </w:r>
            <w:r w:rsidRPr="00293B1F">
              <w:rPr>
                <w:szCs w:val="20"/>
                <w:lang w:eastAsia="sv-SE"/>
              </w:rPr>
              <w:t xml:space="preserve"> in the event the final price of the underlying asset reaches and/or exceeds a price cap or is </w:t>
            </w:r>
            <w:r w:rsidRPr="00765CFB">
              <w:rPr>
                <w:iCs/>
                <w:szCs w:val="20"/>
              </w:rPr>
              <w:t>less</w:t>
            </w:r>
            <w:r w:rsidRPr="00293B1F">
              <w:rPr>
                <w:szCs w:val="20"/>
                <w:lang w:eastAsia="sv-SE"/>
              </w:rPr>
              <w:t xml:space="preserve"> than a price floor.</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noProof/>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Digital</w:t>
            </w:r>
            <w:r w:rsidRPr="00293B1F">
              <w:rPr>
                <w:szCs w:val="20"/>
                <w:lang w:eastAsia="sv-SE"/>
              </w:rPr>
              <w:t xml:space="preserve">" structure – The yield in a digital structure depends on the relationship between value </w:t>
            </w:r>
            <w:r w:rsidRPr="00765CFB">
              <w:rPr>
                <w:iCs/>
                <w:szCs w:val="20"/>
              </w:rPr>
              <w:t>of</w:t>
            </w:r>
            <w:r w:rsidRPr="00293B1F">
              <w:rPr>
                <w:szCs w:val="20"/>
                <w:lang w:eastAsia="sv-SE"/>
              </w:rPr>
              <w:t xml:space="preserve"> an underlying asset and a specific predetermined </w:t>
            </w:r>
            <w:r w:rsidRPr="00765CFB">
              <w:rPr>
                <w:szCs w:val="20"/>
              </w:rPr>
              <w:t>level</w:t>
            </w:r>
            <w:r w:rsidRPr="00293B1F">
              <w:rPr>
                <w:szCs w:val="20"/>
                <w:lang w:eastAsia="sv-SE"/>
              </w:rPr>
              <w:t xml:space="preserve"> on the closing day.</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Binary</w:t>
            </w:r>
            <w:r w:rsidRPr="00293B1F">
              <w:rPr>
                <w:szCs w:val="20"/>
                <w:lang w:eastAsia="sv-SE"/>
              </w:rPr>
              <w:t>" structure – The yield in a binary structure depends on the relationship between the value of an underlying asset and a predetermined level during the entire term of the Instrument.</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Leverage</w:t>
            </w:r>
            <w:r w:rsidRPr="00293B1F">
              <w:rPr>
                <w:szCs w:val="20"/>
                <w:lang w:eastAsia="sv-SE"/>
              </w:rPr>
              <w:t xml:space="preserve">" structure – A leverage structure usually means that the value of the instrument follows the </w:t>
            </w:r>
            <w:r w:rsidRPr="00765CFB">
              <w:rPr>
                <w:szCs w:val="20"/>
              </w:rPr>
              <w:t>leverage</w:t>
            </w:r>
            <w:r w:rsidRPr="00293B1F">
              <w:rPr>
                <w:szCs w:val="20"/>
                <w:lang w:eastAsia="sv-SE"/>
              </w:rPr>
              <w:t xml:space="preserve"> proportionally to an underlying asset. The structure can be combined </w:t>
            </w:r>
            <w:r w:rsidRPr="00765CFB">
              <w:rPr>
                <w:iCs/>
                <w:szCs w:val="20"/>
              </w:rPr>
              <w:t>with</w:t>
            </w:r>
            <w:r w:rsidRPr="00293B1F">
              <w:rPr>
                <w:szCs w:val="20"/>
                <w:lang w:eastAsia="sv-SE"/>
              </w:rPr>
              <w:t xml:space="preserve">, among other things, a barrier or a cap. </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w:t>
            </w:r>
            <w:r w:rsidRPr="00293B1F">
              <w:rPr>
                <w:i/>
                <w:szCs w:val="20"/>
                <w:lang w:eastAsia="sv-SE"/>
              </w:rPr>
              <w:t>Constant leverage</w:t>
            </w:r>
            <w:r w:rsidRPr="00293B1F">
              <w:rPr>
                <w:szCs w:val="20"/>
                <w:lang w:eastAsia="sv-SE"/>
              </w:rPr>
              <w:t xml:space="preserve">" structure – A constant leverage structure is a structure where the exposure to an underlying asset during a defined time period (e.g. one day) generates a yield </w:t>
            </w:r>
            <w:r w:rsidRPr="00765CFB">
              <w:rPr>
                <w:iCs/>
                <w:szCs w:val="20"/>
              </w:rPr>
              <w:t>which</w:t>
            </w:r>
            <w:r w:rsidRPr="00293B1F">
              <w:rPr>
                <w:szCs w:val="20"/>
                <w:lang w:eastAsia="sv-SE"/>
              </w:rPr>
              <w:t xml:space="preserve"> is X times larger compared with the underlying asset. The constant leverage can be both positive and negative and the structure is often combined with, for example, a barrier.</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szCs w:val="20"/>
                <w:lang w:eastAsia="sv-SE"/>
              </w:rPr>
            </w:pPr>
            <w:r w:rsidRPr="00293B1F">
              <w:rPr>
                <w:szCs w:val="20"/>
                <w:lang w:eastAsia="sv-SE"/>
              </w:rPr>
              <w:t xml:space="preserve">The above performance structures represent a selection of the most common structures. The structures </w:t>
            </w:r>
            <w:r w:rsidRPr="00765CFB">
              <w:rPr>
                <w:iCs/>
                <w:szCs w:val="20"/>
              </w:rPr>
              <w:t>can</w:t>
            </w:r>
            <w:r w:rsidRPr="00293B1F">
              <w:rPr>
                <w:szCs w:val="20"/>
                <w:lang w:eastAsia="sv-SE"/>
              </w:rPr>
              <w:t xml:space="preserve"> be combined, varied and used in their entirety or only partly. Other performance structures may also be applicable.</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szCs w:val="20"/>
                <w:lang w:eastAsia="sv-SE"/>
              </w:rPr>
            </w:pPr>
            <w:r w:rsidRPr="00293B1F">
              <w:rPr>
                <w:i/>
                <w:szCs w:val="20"/>
                <w:lang w:eastAsia="sv-SE"/>
              </w:rPr>
              <w:t>The applicable performance structure(s) is/are [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E86D1C">
            <w:pPr>
              <w:pStyle w:val="BodyText"/>
              <w:rPr>
                <w:i/>
                <w:szCs w:val="20"/>
                <w:lang w:eastAsia="sv-SE"/>
              </w:rPr>
            </w:pPr>
            <w:r w:rsidRPr="00293B1F">
              <w:rPr>
                <w:b/>
                <w:i/>
                <w:szCs w:val="20"/>
                <w:lang w:eastAsia="sv-SE"/>
              </w:rPr>
              <w:t>Participation rate</w:t>
            </w:r>
            <w:r w:rsidRPr="00293B1F">
              <w:rPr>
                <w:i/>
                <w:szCs w:val="20"/>
                <w:lang w:eastAsia="sv-SE"/>
              </w:rPr>
              <w:t>:</w:t>
            </w:r>
            <w:r w:rsidRPr="00293B1F">
              <w:rPr>
                <w:szCs w:val="20"/>
                <w:lang w:eastAsia="sv-SE"/>
              </w:rPr>
              <w:t xml:space="preserve"> The structure of the Instruments may contain a participation rate which is used to determine the exposure to the relevant underlying asset(s), i.e. the proportion of any change in value which accrues to the investor in each individual </w:t>
            </w:r>
            <w:r w:rsidRPr="00765CFB">
              <w:rPr>
                <w:iCs/>
                <w:szCs w:val="20"/>
              </w:rPr>
              <w:t>Instrument</w:t>
            </w:r>
            <w:r w:rsidRPr="00293B1F">
              <w:rPr>
                <w:szCs w:val="20"/>
                <w:lang w:eastAsia="sv-SE"/>
              </w:rPr>
              <w:t>. The participation rate is determined by the Issuer and established through, among other things, term to maturity, volatility, market interest rates and the anticipated yield on an underlying asset.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i/>
                <w:iCs/>
                <w:szCs w:val="20"/>
                <w:lang w:eastAsia="sv-SE"/>
              </w:rPr>
            </w:pPr>
            <w:r w:rsidRPr="00293B1F">
              <w:rPr>
                <w:i/>
                <w:iCs/>
                <w:szCs w:val="20"/>
                <w:lang w:eastAsia="sv-SE"/>
              </w:rPr>
              <w:t>The [indicative] Participation Rate is: [ ]</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b/>
                <w:i/>
                <w:iCs/>
                <w:szCs w:val="20"/>
                <w:lang w:eastAsia="sv-SE"/>
              </w:rPr>
            </w:pPr>
            <w:r w:rsidRPr="00293B1F">
              <w:rPr>
                <w:b/>
                <w:i/>
                <w:iCs/>
                <w:szCs w:val="20"/>
                <w:lang w:eastAsia="sv-SE"/>
              </w:rPr>
              <w:t>Certain yield structures:</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65CFB">
            <w:pPr>
              <w:pStyle w:val="BodyText"/>
              <w:rPr>
                <w:iCs/>
                <w:szCs w:val="20"/>
                <w:lang w:eastAsia="sv-SE"/>
              </w:rPr>
            </w:pPr>
            <w:r w:rsidRPr="00293B1F">
              <w:rPr>
                <w:iCs/>
                <w:szCs w:val="20"/>
                <w:lang w:eastAsia="sv-SE"/>
              </w:rPr>
              <w:t xml:space="preserve">One or more of the following certain yield structures may be applicable to Certificates, Warrants and </w:t>
            </w:r>
            <w:r w:rsidRPr="00293B1F">
              <w:rPr>
                <w:iCs/>
                <w:szCs w:val="20"/>
              </w:rPr>
              <w:t>Market</w:t>
            </w:r>
            <w:r w:rsidRPr="00293B1F">
              <w:rPr>
                <w:iCs/>
                <w:szCs w:val="20"/>
                <w:lang w:eastAsia="sv-SE"/>
              </w:rPr>
              <w:t xml:space="preserve"> </w:t>
            </w:r>
            <w:r w:rsidRPr="00293B1F">
              <w:rPr>
                <w:iCs/>
                <w:szCs w:val="20"/>
              </w:rPr>
              <w:t>Warrants</w:t>
            </w:r>
            <w:r w:rsidRPr="00293B1F">
              <w:rPr>
                <w:iCs/>
                <w:szCs w:val="20"/>
                <w:lang w:eastAsia="sv-SE"/>
              </w:rPr>
              <w:t>.</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C76D93">
            <w:pPr>
              <w:pStyle w:val="BodyText"/>
              <w:rPr>
                <w:iCs/>
                <w:szCs w:val="20"/>
                <w:lang w:val="en-US" w:eastAsia="sv-SE"/>
              </w:rPr>
            </w:pPr>
            <w:r w:rsidRPr="00293B1F">
              <w:rPr>
                <w:iCs/>
                <w:szCs w:val="20"/>
                <w:lang w:val="en-US" w:eastAsia="sv-SE"/>
              </w:rPr>
              <w:t xml:space="preserve">"Cap/Floor", "Capped Floor Float", "Compounding Floater", "Range Accrual", "Digital Long", "Digital Short", "Basket Long", "Basket Short", </w:t>
            </w:r>
            <w:r w:rsidRPr="00293B1F">
              <w:rPr>
                <w:iCs/>
                <w:szCs w:val="20"/>
                <w:lang w:eastAsia="sv-SE"/>
              </w:rPr>
              <w:t>"Autocall coupon"</w:t>
            </w:r>
            <w:r w:rsidRPr="00293B1F">
              <w:rPr>
                <w:iCs/>
                <w:szCs w:val="20"/>
                <w:lang w:val="en-US" w:eastAsia="sv-SE"/>
              </w:rPr>
              <w:t xml:space="preserve">, </w:t>
            </w:r>
            <w:r w:rsidRPr="00293B1F">
              <w:rPr>
                <w:iCs/>
                <w:szCs w:val="20"/>
                <w:lang w:eastAsia="sv-SE"/>
              </w:rPr>
              <w:t xml:space="preserve">"Max </w:t>
            </w:r>
            <w:r w:rsidRPr="00293B1F">
              <w:rPr>
                <w:iCs/>
                <w:szCs w:val="20"/>
              </w:rPr>
              <w:t>component</w:t>
            </w:r>
            <w:r w:rsidRPr="00293B1F">
              <w:rPr>
                <w:iCs/>
                <w:szCs w:val="20"/>
                <w:lang w:eastAsia="sv-SE"/>
              </w:rPr>
              <w:t>"</w:t>
            </w:r>
            <w:r w:rsidRPr="00293B1F">
              <w:rPr>
                <w:iCs/>
                <w:szCs w:val="20"/>
                <w:lang w:val="en-US" w:eastAsia="sv-SE"/>
              </w:rPr>
              <w:t xml:space="preserve">, </w:t>
            </w:r>
            <w:r w:rsidRPr="00293B1F">
              <w:rPr>
                <w:iCs/>
                <w:szCs w:val="20"/>
                <w:lang w:eastAsia="sv-SE"/>
              </w:rPr>
              <w:t>"Currency component – Basket"</w:t>
            </w:r>
            <w:r w:rsidRPr="00293B1F">
              <w:rPr>
                <w:iCs/>
                <w:szCs w:val="20"/>
                <w:lang w:val="en-US" w:eastAsia="sv-SE"/>
              </w:rPr>
              <w:t xml:space="preserve"> and</w:t>
            </w:r>
            <w:r w:rsidRPr="00293B1F">
              <w:rPr>
                <w:iCs/>
                <w:szCs w:val="20"/>
                <w:lang w:eastAsia="sv-SE"/>
              </w:rPr>
              <w:t>"Currency component –Underlying Asset".</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szCs w:val="20"/>
              </w:rPr>
            </w:pPr>
          </w:p>
        </w:tc>
        <w:tc>
          <w:tcPr>
            <w:tcW w:w="3688" w:type="pct"/>
            <w:tcBorders>
              <w:top w:val="nil"/>
              <w:bottom w:val="single" w:sz="4" w:space="0" w:color="auto"/>
            </w:tcBorders>
          </w:tcPr>
          <w:p w:rsidR="00BC0214" w:rsidRPr="00293B1F" w:rsidP="00F3587A">
            <w:pPr>
              <w:pStyle w:val="BodyText"/>
              <w:rPr>
                <w:i/>
                <w:iCs/>
                <w:szCs w:val="20"/>
                <w:lang w:eastAsia="sv-SE"/>
              </w:rPr>
            </w:pPr>
            <w:r w:rsidRPr="00293B1F">
              <w:rPr>
                <w:i/>
                <w:iCs/>
                <w:szCs w:val="20"/>
                <w:lang w:eastAsia="sv-SE"/>
              </w:rPr>
              <w:t>The yield structure(s) applicable to the Instruments is/ are: [•]/[Not applicable]</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noProof/>
                <w:szCs w:val="20"/>
              </w:rPr>
            </w:pPr>
            <w:r w:rsidRPr="00293B1F">
              <w:rPr>
                <w:b/>
                <w:bCs/>
                <w:noProof/>
                <w:szCs w:val="20"/>
              </w:rPr>
              <w:t>C.16</w:t>
            </w:r>
          </w:p>
        </w:tc>
        <w:tc>
          <w:tcPr>
            <w:tcW w:w="958" w:type="pct"/>
            <w:tcBorders>
              <w:bottom w:val="nil"/>
            </w:tcBorders>
          </w:tcPr>
          <w:p w:rsidR="00BC0214" w:rsidRPr="00293B1F" w:rsidP="00F3587A">
            <w:pPr>
              <w:pStyle w:val="BodyText"/>
              <w:jc w:val="left"/>
              <w:rPr>
                <w:b/>
                <w:bCs/>
                <w:noProof/>
                <w:szCs w:val="20"/>
              </w:rPr>
            </w:pPr>
            <w:r w:rsidRPr="00293B1F">
              <w:rPr>
                <w:b/>
                <w:bCs/>
                <w:szCs w:val="20"/>
              </w:rPr>
              <w:t>Exercise Date or Final Reference Date:</w:t>
            </w:r>
          </w:p>
        </w:tc>
        <w:tc>
          <w:tcPr>
            <w:tcW w:w="3688" w:type="pct"/>
            <w:tcBorders>
              <w:bottom w:val="nil"/>
            </w:tcBorders>
          </w:tcPr>
          <w:p w:rsidR="00BC0214" w:rsidRPr="00293B1F" w:rsidP="00C76D93">
            <w:pPr>
              <w:pStyle w:val="BodyText"/>
              <w:rPr>
                <w:szCs w:val="20"/>
                <w:lang w:eastAsia="sv-SE"/>
              </w:rPr>
            </w:pPr>
            <w:r w:rsidRPr="00293B1F">
              <w:rPr>
                <w:szCs w:val="20"/>
                <w:lang w:eastAsia="sv-SE"/>
              </w:rPr>
              <w:t>Subject to early redemption, the Settlement Date will be the maturity date of the Instruments, except in the case of open-ended Instruments which have no fixed Settlement Date.</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szCs w:val="20"/>
              </w:rPr>
            </w:pPr>
          </w:p>
        </w:tc>
        <w:tc>
          <w:tcPr>
            <w:tcW w:w="3688" w:type="pct"/>
            <w:tcBorders>
              <w:top w:val="nil"/>
              <w:bottom w:val="single" w:sz="4" w:space="0" w:color="auto"/>
            </w:tcBorders>
          </w:tcPr>
          <w:p w:rsidR="00BC0214" w:rsidRPr="00293B1F" w:rsidP="00C76D93">
            <w:pPr>
              <w:pStyle w:val="BodyText"/>
              <w:rPr>
                <w:i/>
                <w:szCs w:val="20"/>
                <w:lang w:eastAsia="sv-SE"/>
              </w:rPr>
            </w:pPr>
            <w:r w:rsidRPr="00293B1F">
              <w:rPr>
                <w:i/>
                <w:szCs w:val="20"/>
                <w:lang w:eastAsia="sv-SE"/>
              </w:rPr>
              <w:t>The Settlement Date is: [•]/Not Applicable</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noProof/>
                <w:szCs w:val="20"/>
              </w:rPr>
            </w:pPr>
            <w:r w:rsidRPr="00293B1F">
              <w:rPr>
                <w:b/>
                <w:bCs/>
                <w:noProof/>
                <w:szCs w:val="20"/>
              </w:rPr>
              <w:t>C.17</w:t>
            </w:r>
          </w:p>
        </w:tc>
        <w:tc>
          <w:tcPr>
            <w:tcW w:w="958" w:type="pct"/>
            <w:tcBorders>
              <w:bottom w:val="nil"/>
            </w:tcBorders>
          </w:tcPr>
          <w:p w:rsidR="00BC0214" w:rsidRPr="00293B1F" w:rsidP="00F3587A">
            <w:pPr>
              <w:pStyle w:val="BodyText"/>
              <w:jc w:val="left"/>
              <w:rPr>
                <w:b/>
                <w:bCs/>
                <w:noProof/>
                <w:szCs w:val="20"/>
              </w:rPr>
            </w:pPr>
            <w:r w:rsidRPr="00293B1F">
              <w:rPr>
                <w:b/>
                <w:bCs/>
                <w:szCs w:val="20"/>
              </w:rPr>
              <w:t>Settlement Procedure:</w:t>
            </w:r>
          </w:p>
        </w:tc>
        <w:tc>
          <w:tcPr>
            <w:tcW w:w="3688" w:type="pct"/>
            <w:tcBorders>
              <w:bottom w:val="nil"/>
            </w:tcBorders>
          </w:tcPr>
          <w:p w:rsidR="00BC0214" w:rsidRPr="00293B1F" w:rsidP="00E86D1C">
            <w:pPr>
              <w:pStyle w:val="BodyText"/>
              <w:rPr>
                <w:b/>
                <w:szCs w:val="20"/>
                <w:lang w:eastAsia="sv-SE"/>
              </w:rPr>
            </w:pPr>
            <w:r w:rsidRPr="00293B1F">
              <w:rPr>
                <w:szCs w:val="20"/>
                <w:lang w:eastAsia="sv-SE"/>
              </w:rPr>
              <w:t xml:space="preserve">Automatic exercise shall take place in respect of all Instruments by way of cash settlement, meaning that where an </w:t>
            </w:r>
            <w:r w:rsidRPr="00C76D93">
              <w:rPr>
                <w:iCs/>
                <w:szCs w:val="20"/>
              </w:rPr>
              <w:t>Instrument</w:t>
            </w:r>
            <w:r w:rsidRPr="00293B1F">
              <w:rPr>
                <w:szCs w:val="20"/>
                <w:lang w:eastAsia="sv-SE"/>
              </w:rPr>
              <w:t xml:space="preserve"> carries an entitlement to a Settlement Amount on the Settlement Date, the Issuer</w:t>
            </w:r>
            <w:r>
              <w:rPr>
                <w:rStyle w:val="FootnoteReference"/>
                <w:lang w:eastAsia="sv-SE"/>
              </w:rPr>
              <w:footnoteReference w:id="14"/>
            </w:r>
            <w:r w:rsidRPr="00293B1F">
              <w:rPr>
                <w:szCs w:val="20"/>
                <w:lang w:eastAsia="sv-SE"/>
              </w:rPr>
              <w:t xml:space="preserve"> shall pay the holder in cash. Instruments do not entitle the holder to receive any underlying assets</w:t>
            </w:r>
            <w:r w:rsidRPr="00293B1F">
              <w:rPr>
                <w:iCs/>
                <w:szCs w:val="20"/>
                <w:lang w:eastAsia="sv-SE"/>
              </w:rPr>
              <w:t>.</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C76D93">
            <w:pPr>
              <w:pStyle w:val="BodyText"/>
              <w:rPr>
                <w:szCs w:val="20"/>
                <w:lang w:eastAsia="sv-SE"/>
              </w:rPr>
            </w:pPr>
            <w:r w:rsidRPr="00293B1F">
              <w:rPr>
                <w:iCs/>
                <w:szCs w:val="20"/>
                <w:lang w:eastAsia="sv-SE"/>
              </w:rPr>
              <w:t>Settlement of Instruments registered with VP shall take place in accordance with the VP rulebook; settlement of Instruments registered with VPS shall take place in accordance with the VPS rulebook; settlement of Instruments registered with Euroclear Sweden shall take place in accordance with Euroclear Sweden's rulebook; and settlement of Instruments registered with Euroclear Finland shall take place in accordance with Euroclear Finland's rulebook.</w:t>
            </w:r>
          </w:p>
        </w:tc>
      </w:tr>
      <w:tr w:rsidTr="00A848AF">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735241">
            <w:pPr>
              <w:pStyle w:val="BodyText"/>
              <w:rPr>
                <w:szCs w:val="20"/>
                <w:lang w:eastAsia="sv-SE"/>
              </w:rPr>
            </w:pPr>
            <w:r w:rsidRPr="00293B1F">
              <w:rPr>
                <w:szCs w:val="20"/>
                <w:lang w:eastAsia="sv-SE"/>
              </w:rPr>
              <w:t>Settlement of any Instruments that are represented by a Global Instrument shall take place on the relevant payment date and will be effected by the Issuer</w:t>
            </w:r>
            <w:r w:rsidRPr="00A848AF" w:rsidR="00A848AF">
              <w:rPr>
                <w:szCs w:val="20"/>
                <w:vertAlign w:val="superscript"/>
                <w:lang w:eastAsia="sv-SE"/>
              </w:rPr>
              <w:t>1</w:t>
            </w:r>
            <w:r w:rsidR="00735241">
              <w:rPr>
                <w:szCs w:val="20"/>
                <w:vertAlign w:val="superscript"/>
                <w:lang w:eastAsia="sv-SE"/>
              </w:rPr>
              <w:t>3</w:t>
            </w:r>
            <w:r w:rsidRPr="00293B1F">
              <w:rPr>
                <w:szCs w:val="20"/>
                <w:lang w:eastAsia="sv-SE"/>
              </w:rPr>
              <w:t xml:space="preserve"> paying the applicable amounts of principal and/or interest to the Registrar for onward transmission to Euroclear and Clearstream, Luxembourg.  Investors will receive </w:t>
            </w:r>
            <w:r w:rsidRPr="00C76D93">
              <w:rPr>
                <w:iCs/>
                <w:szCs w:val="20"/>
              </w:rPr>
              <w:t>their</w:t>
            </w:r>
            <w:r w:rsidRPr="00293B1F">
              <w:rPr>
                <w:szCs w:val="20"/>
                <w:lang w:eastAsia="sv-SE"/>
              </w:rPr>
              <w:t xml:space="preserve"> redemption monies through their accounts in Euroclear and Clearstream, Luxembourg in accordance with the standard settlement procedures of Euroclear and Clearstream, Luxembourg.</w:t>
            </w:r>
          </w:p>
        </w:tc>
      </w:tr>
      <w:tr w:rsidTr="00F3587A">
        <w:tblPrEx>
          <w:tblW w:w="5000" w:type="pct"/>
          <w:tblLook w:val="0000"/>
        </w:tblPrEx>
        <w:trPr>
          <w:cantSplit/>
        </w:trPr>
        <w:tc>
          <w:tcPr>
            <w:tcW w:w="354" w:type="pct"/>
            <w:tcBorders>
              <w:top w:val="nil"/>
              <w:bottom w:val="nil"/>
            </w:tcBorders>
          </w:tcPr>
          <w:p w:rsidR="00BC0214" w:rsidRPr="00293B1F" w:rsidP="00F3587A">
            <w:pPr>
              <w:pStyle w:val="BodyText"/>
              <w:rPr>
                <w:b/>
                <w:bCs/>
                <w:noProof/>
                <w:szCs w:val="20"/>
              </w:rPr>
            </w:pPr>
          </w:p>
        </w:tc>
        <w:tc>
          <w:tcPr>
            <w:tcW w:w="958" w:type="pct"/>
            <w:tcBorders>
              <w:top w:val="nil"/>
              <w:bottom w:val="nil"/>
            </w:tcBorders>
          </w:tcPr>
          <w:p w:rsidR="00BC0214" w:rsidRPr="00293B1F" w:rsidP="00F3587A">
            <w:pPr>
              <w:pStyle w:val="BodyText"/>
              <w:jc w:val="left"/>
              <w:rPr>
                <w:b/>
                <w:bCs/>
                <w:szCs w:val="20"/>
              </w:rPr>
            </w:pPr>
          </w:p>
        </w:tc>
        <w:tc>
          <w:tcPr>
            <w:tcW w:w="3688" w:type="pct"/>
            <w:tcBorders>
              <w:top w:val="nil"/>
              <w:bottom w:val="nil"/>
            </w:tcBorders>
          </w:tcPr>
          <w:p w:rsidR="00BC0214" w:rsidRPr="00293B1F" w:rsidP="00C76D93">
            <w:pPr>
              <w:pStyle w:val="BodyText"/>
              <w:rPr>
                <w:szCs w:val="20"/>
                <w:lang w:eastAsia="sv-SE"/>
              </w:rPr>
            </w:pPr>
            <w:r w:rsidRPr="00293B1F">
              <w:rPr>
                <w:szCs w:val="20"/>
                <w:lang w:eastAsia="sv-SE"/>
              </w:rPr>
              <w:t>In respect of Instruments that are in definitive form, payment of the Settlement Amount will be made against presentation and surrender of the individual Instrument at the specified office of the registrar.</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szCs w:val="20"/>
              </w:rPr>
            </w:pPr>
          </w:p>
        </w:tc>
        <w:tc>
          <w:tcPr>
            <w:tcW w:w="3688" w:type="pct"/>
            <w:tcBorders>
              <w:top w:val="nil"/>
              <w:bottom w:val="single" w:sz="4" w:space="0" w:color="auto"/>
            </w:tcBorders>
          </w:tcPr>
          <w:p w:rsidR="00BC0214" w:rsidRPr="00293B1F" w:rsidP="00C76D93">
            <w:pPr>
              <w:pStyle w:val="BodyText"/>
              <w:rPr>
                <w:szCs w:val="20"/>
                <w:lang w:eastAsia="sv-SE"/>
              </w:rPr>
            </w:pPr>
            <w:r w:rsidRPr="00293B1F">
              <w:rPr>
                <w:i/>
                <w:iCs/>
                <w:szCs w:val="20"/>
                <w:lang w:eastAsia="sv-SE"/>
              </w:rPr>
              <w:t xml:space="preserve">Settlement of Instruments shall take place: in accordance with the procedures of </w:t>
            </w:r>
            <w:r w:rsidRPr="00293B1F">
              <w:rPr>
                <w:iCs/>
                <w:szCs w:val="20"/>
                <w:lang w:eastAsia="sv-SE"/>
              </w:rPr>
              <w:t>[</w:t>
            </w:r>
            <w:r w:rsidRPr="00293B1F">
              <w:rPr>
                <w:i/>
                <w:iCs/>
                <w:szCs w:val="20"/>
                <w:lang w:eastAsia="sv-SE"/>
              </w:rPr>
              <w:t>VP/VPS/Euroclear Sweden/Euroclear Finland/Euroclear and Clearstream, Luxembourg</w:t>
            </w:r>
            <w:r w:rsidRPr="00293B1F">
              <w:rPr>
                <w:iCs/>
                <w:szCs w:val="20"/>
                <w:lang w:eastAsia="sv-SE"/>
              </w:rPr>
              <w:t>]</w:t>
            </w:r>
          </w:p>
        </w:tc>
      </w:tr>
      <w:tr w:rsidTr="00F3587A">
        <w:tblPrEx>
          <w:tblW w:w="5000" w:type="pct"/>
          <w:tblLook w:val="0000"/>
        </w:tblPrEx>
        <w:trPr>
          <w:cantSplit/>
        </w:trPr>
        <w:tc>
          <w:tcPr>
            <w:tcW w:w="354" w:type="pct"/>
            <w:tcBorders>
              <w:bottom w:val="nil"/>
            </w:tcBorders>
          </w:tcPr>
          <w:p w:rsidR="00BC0214" w:rsidRPr="00293B1F" w:rsidP="00F3587A">
            <w:pPr>
              <w:pStyle w:val="BodyText"/>
              <w:keepNext/>
              <w:rPr>
                <w:b/>
                <w:bCs/>
                <w:noProof/>
                <w:szCs w:val="20"/>
              </w:rPr>
            </w:pPr>
            <w:r w:rsidRPr="00293B1F">
              <w:rPr>
                <w:b/>
                <w:bCs/>
                <w:noProof/>
                <w:szCs w:val="20"/>
              </w:rPr>
              <w:t>C.18</w:t>
            </w:r>
          </w:p>
        </w:tc>
        <w:tc>
          <w:tcPr>
            <w:tcW w:w="958" w:type="pct"/>
            <w:tcBorders>
              <w:bottom w:val="nil"/>
            </w:tcBorders>
          </w:tcPr>
          <w:p w:rsidR="00BC0214" w:rsidRPr="00293B1F" w:rsidP="00F3587A">
            <w:pPr>
              <w:pStyle w:val="BodyText"/>
              <w:jc w:val="left"/>
              <w:rPr>
                <w:b/>
                <w:bCs/>
                <w:noProof/>
                <w:szCs w:val="20"/>
              </w:rPr>
            </w:pPr>
            <w:r w:rsidRPr="00293B1F">
              <w:rPr>
                <w:b/>
                <w:bCs/>
                <w:szCs w:val="20"/>
              </w:rPr>
              <w:t>The Return:</w:t>
            </w:r>
          </w:p>
        </w:tc>
        <w:tc>
          <w:tcPr>
            <w:tcW w:w="3688" w:type="pct"/>
            <w:tcBorders>
              <w:bottom w:val="nil"/>
            </w:tcBorders>
          </w:tcPr>
          <w:p w:rsidR="00BC0214" w:rsidRPr="00293B1F" w:rsidP="00F3587A">
            <w:pPr>
              <w:pStyle w:val="BodyText"/>
              <w:rPr>
                <w:szCs w:val="20"/>
                <w:lang w:eastAsia="sv-SE"/>
              </w:rPr>
            </w:pPr>
            <w:r w:rsidRPr="00293B1F">
              <w:t xml:space="preserve">The return or Settlement Amount payable to the Investors will be determined by reference to the performance of the underlying assets within a particular performance structure applicable to the Instruments. One or several coupons may also be payable, in addition to the Settlement Amount. Details of the various </w:t>
            </w:r>
            <w:r w:rsidRPr="00C76D93">
              <w:rPr>
                <w:iCs/>
                <w:szCs w:val="20"/>
              </w:rPr>
              <w:t>performance</w:t>
            </w:r>
            <w:r w:rsidRPr="00293B1F">
              <w:t xml:space="preserve"> structures and certain yield structures are set out in section C.15.</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szCs w:val="20"/>
              </w:rPr>
            </w:pPr>
          </w:p>
        </w:tc>
        <w:tc>
          <w:tcPr>
            <w:tcW w:w="3688" w:type="pct"/>
            <w:tcBorders>
              <w:top w:val="nil"/>
              <w:bottom w:val="single" w:sz="4" w:space="0" w:color="auto"/>
            </w:tcBorders>
          </w:tcPr>
          <w:p w:rsidR="00BC0214" w:rsidRPr="00293B1F" w:rsidP="00C76D93">
            <w:pPr>
              <w:pStyle w:val="BodyText"/>
              <w:rPr>
                <w:i/>
                <w:iCs/>
                <w:szCs w:val="20"/>
                <w:lang w:eastAsia="sv-SE"/>
              </w:rPr>
            </w:pPr>
            <w:r w:rsidRPr="00293B1F">
              <w:rPr>
                <w:i/>
              </w:rPr>
              <w:t>Details of the applicable interest and performance structure(s) and the return on the Instruments are set out in section C.15.</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noProof/>
                <w:szCs w:val="20"/>
              </w:rPr>
            </w:pPr>
            <w:r w:rsidRPr="00293B1F">
              <w:rPr>
                <w:b/>
                <w:bCs/>
                <w:noProof/>
                <w:szCs w:val="20"/>
              </w:rPr>
              <w:t>C.19</w:t>
            </w:r>
          </w:p>
        </w:tc>
        <w:tc>
          <w:tcPr>
            <w:tcW w:w="958" w:type="pct"/>
            <w:tcBorders>
              <w:bottom w:val="nil"/>
            </w:tcBorders>
          </w:tcPr>
          <w:p w:rsidR="00BC0214" w:rsidRPr="00293B1F" w:rsidP="00F3587A">
            <w:pPr>
              <w:pStyle w:val="BodyText"/>
              <w:jc w:val="left"/>
              <w:rPr>
                <w:b/>
                <w:bCs/>
                <w:noProof/>
                <w:szCs w:val="20"/>
              </w:rPr>
            </w:pPr>
            <w:r w:rsidRPr="00293B1F">
              <w:rPr>
                <w:b/>
                <w:bCs/>
                <w:szCs w:val="20"/>
              </w:rPr>
              <w:t>Exercise Price or Final Reference Price:</w:t>
            </w:r>
          </w:p>
        </w:tc>
        <w:tc>
          <w:tcPr>
            <w:tcW w:w="3688" w:type="pct"/>
            <w:tcBorders>
              <w:bottom w:val="nil"/>
            </w:tcBorders>
          </w:tcPr>
          <w:p w:rsidR="00BC0214" w:rsidRPr="00293B1F" w:rsidP="00C76D93">
            <w:pPr>
              <w:pStyle w:val="BodyText"/>
              <w:rPr>
                <w:b/>
                <w:iCs/>
                <w:szCs w:val="20"/>
                <w:lang w:eastAsia="sv-SE"/>
              </w:rPr>
            </w:pPr>
            <w:r w:rsidRPr="00293B1F">
              <w:rPr>
                <w:szCs w:val="20"/>
                <w:lang w:eastAsia="sv-SE"/>
              </w:rPr>
              <w:t>The final value of the relevant underlying asset(s) will affect the Settlement amount to be paid to Investors. The final value will be determined on the applicable Valuation Date(s).</w:t>
            </w:r>
          </w:p>
        </w:tc>
      </w:tr>
      <w:tr w:rsidTr="00F3587A">
        <w:tblPrEx>
          <w:tblW w:w="5000" w:type="pct"/>
          <w:tblLook w:val="0000"/>
        </w:tblPrEx>
        <w:trPr>
          <w:cantSplit/>
        </w:trPr>
        <w:tc>
          <w:tcPr>
            <w:tcW w:w="354" w:type="pct"/>
            <w:tcBorders>
              <w:top w:val="nil"/>
              <w:bottom w:val="single" w:sz="4" w:space="0" w:color="auto"/>
            </w:tcBorders>
          </w:tcPr>
          <w:p w:rsidR="00BC0214" w:rsidRPr="00293B1F" w:rsidP="00F3587A">
            <w:pPr>
              <w:pStyle w:val="BodyText"/>
              <w:rPr>
                <w:b/>
                <w:bCs/>
                <w:noProof/>
                <w:szCs w:val="20"/>
              </w:rPr>
            </w:pPr>
          </w:p>
        </w:tc>
        <w:tc>
          <w:tcPr>
            <w:tcW w:w="958" w:type="pct"/>
            <w:tcBorders>
              <w:top w:val="nil"/>
              <w:bottom w:val="single" w:sz="4" w:space="0" w:color="auto"/>
            </w:tcBorders>
          </w:tcPr>
          <w:p w:rsidR="00BC0214" w:rsidRPr="00293B1F" w:rsidP="00F3587A">
            <w:pPr>
              <w:pStyle w:val="BodyText"/>
              <w:jc w:val="left"/>
              <w:rPr>
                <w:b/>
                <w:bCs/>
                <w:szCs w:val="20"/>
              </w:rPr>
            </w:pPr>
          </w:p>
        </w:tc>
        <w:tc>
          <w:tcPr>
            <w:tcW w:w="3688" w:type="pct"/>
            <w:tcBorders>
              <w:top w:val="nil"/>
              <w:bottom w:val="single" w:sz="4" w:space="0" w:color="auto"/>
            </w:tcBorders>
          </w:tcPr>
          <w:p w:rsidR="00BC0214" w:rsidRPr="00293B1F" w:rsidP="00C76D93">
            <w:pPr>
              <w:pStyle w:val="BodyText"/>
              <w:rPr>
                <w:iCs/>
                <w:szCs w:val="20"/>
                <w:lang w:eastAsia="sv-SE"/>
              </w:rPr>
            </w:pPr>
            <w:r w:rsidRPr="00293B1F">
              <w:rPr>
                <w:i/>
                <w:iCs/>
                <w:szCs w:val="20"/>
                <w:lang w:eastAsia="sv-SE"/>
              </w:rPr>
              <w:t>[The final value of the underlying asset will be calculated as [closing day price]/[average closing prices] published by [•] on each of [•], [•] and [•]</w:t>
            </w:r>
            <w:r w:rsidRPr="00293B1F">
              <w:rPr>
                <w:szCs w:val="20"/>
                <w:lang w:eastAsia="sv-SE"/>
              </w:rPr>
              <w:t>.]</w:t>
            </w:r>
          </w:p>
        </w:tc>
      </w:tr>
      <w:tr w:rsidTr="00F3587A">
        <w:tblPrEx>
          <w:tblW w:w="5000" w:type="pct"/>
          <w:tblLook w:val="0000"/>
        </w:tblPrEx>
        <w:trPr>
          <w:cantSplit/>
        </w:trPr>
        <w:tc>
          <w:tcPr>
            <w:tcW w:w="354" w:type="pct"/>
            <w:tcBorders>
              <w:bottom w:val="nil"/>
            </w:tcBorders>
          </w:tcPr>
          <w:p w:rsidR="00BC0214" w:rsidRPr="00293B1F" w:rsidP="00F3587A">
            <w:pPr>
              <w:pStyle w:val="BodyText"/>
              <w:rPr>
                <w:b/>
                <w:bCs/>
                <w:noProof/>
                <w:szCs w:val="20"/>
              </w:rPr>
            </w:pPr>
            <w:r w:rsidRPr="00293B1F">
              <w:rPr>
                <w:b/>
                <w:bCs/>
                <w:noProof/>
                <w:szCs w:val="20"/>
              </w:rPr>
              <w:t>C.20</w:t>
            </w:r>
          </w:p>
        </w:tc>
        <w:tc>
          <w:tcPr>
            <w:tcW w:w="958" w:type="pct"/>
            <w:tcBorders>
              <w:bottom w:val="nil"/>
            </w:tcBorders>
          </w:tcPr>
          <w:p w:rsidR="00BC0214" w:rsidRPr="00293B1F" w:rsidP="00F3587A">
            <w:pPr>
              <w:pStyle w:val="BodyText"/>
              <w:jc w:val="left"/>
              <w:rPr>
                <w:b/>
                <w:bCs/>
                <w:noProof/>
                <w:szCs w:val="20"/>
              </w:rPr>
            </w:pPr>
            <w:r w:rsidRPr="00293B1F">
              <w:rPr>
                <w:b/>
                <w:bCs/>
                <w:szCs w:val="20"/>
              </w:rPr>
              <w:t>Type of Underlying:</w:t>
            </w:r>
          </w:p>
        </w:tc>
        <w:tc>
          <w:tcPr>
            <w:tcW w:w="3688" w:type="pct"/>
            <w:tcBorders>
              <w:bottom w:val="nil"/>
            </w:tcBorders>
          </w:tcPr>
          <w:p w:rsidR="00BC0214" w:rsidRPr="00293B1F" w:rsidP="00C76D93">
            <w:pPr>
              <w:pStyle w:val="BodyText"/>
              <w:rPr>
                <w:iCs/>
                <w:szCs w:val="20"/>
                <w:lang w:val="en-US" w:eastAsia="sv-SE"/>
              </w:rPr>
            </w:pPr>
            <w:r w:rsidRPr="00293B1F">
              <w:rPr>
                <w:iCs/>
                <w:sz w:val="22"/>
                <w:szCs w:val="22"/>
                <w:lang w:eastAsia="sv-SE"/>
              </w:rPr>
              <w:t xml:space="preserve">Underlying assets may be comprised of, or constitute a combination of, the following: shares, depository receipts, bonds, commodities, interest rates, exchange rates, forward </w:t>
            </w:r>
            <w:r w:rsidRPr="00C76D93">
              <w:rPr>
                <w:iCs/>
                <w:szCs w:val="20"/>
              </w:rPr>
              <w:t>contracts</w:t>
            </w:r>
            <w:r w:rsidRPr="00293B1F">
              <w:rPr>
                <w:iCs/>
                <w:sz w:val="22"/>
                <w:szCs w:val="22"/>
                <w:lang w:eastAsia="sv-SE"/>
              </w:rPr>
              <w:t>, futures contracts, funds, indices or a basket of assets. The performance of the underlying asset(s) affects the value and possible yield on the warrant or certificate.</w:t>
            </w:r>
          </w:p>
        </w:tc>
      </w:tr>
      <w:tr w:rsidTr="00F3587A">
        <w:tblPrEx>
          <w:tblW w:w="5000" w:type="pct"/>
          <w:tblLook w:val="0000"/>
        </w:tblPrEx>
        <w:trPr>
          <w:cantSplit/>
        </w:trPr>
        <w:tc>
          <w:tcPr>
            <w:tcW w:w="354" w:type="pct"/>
            <w:tcBorders>
              <w:top w:val="nil"/>
            </w:tcBorders>
          </w:tcPr>
          <w:p w:rsidR="00BC0214" w:rsidRPr="00293B1F" w:rsidP="00F3587A">
            <w:pPr>
              <w:pStyle w:val="BodyText"/>
              <w:rPr>
                <w:b/>
                <w:bCs/>
                <w:noProof/>
                <w:szCs w:val="20"/>
              </w:rPr>
            </w:pPr>
          </w:p>
        </w:tc>
        <w:tc>
          <w:tcPr>
            <w:tcW w:w="958" w:type="pct"/>
            <w:tcBorders>
              <w:top w:val="nil"/>
            </w:tcBorders>
          </w:tcPr>
          <w:p w:rsidR="00BC0214" w:rsidRPr="00293B1F" w:rsidP="00F3587A">
            <w:pPr>
              <w:pStyle w:val="BodyText"/>
              <w:jc w:val="left"/>
              <w:rPr>
                <w:b/>
                <w:bCs/>
                <w:szCs w:val="20"/>
              </w:rPr>
            </w:pPr>
          </w:p>
        </w:tc>
        <w:tc>
          <w:tcPr>
            <w:tcW w:w="3688" w:type="pct"/>
            <w:tcBorders>
              <w:top w:val="nil"/>
            </w:tcBorders>
          </w:tcPr>
          <w:p w:rsidR="00BC0214" w:rsidRPr="00293B1F" w:rsidP="00F3587A">
            <w:pPr>
              <w:pStyle w:val="BodyText"/>
              <w:rPr>
                <w:i/>
                <w:iCs/>
                <w:szCs w:val="20"/>
                <w:lang w:eastAsia="sv-SE"/>
              </w:rPr>
            </w:pPr>
            <w:r w:rsidRPr="00293B1F">
              <w:rPr>
                <w:i/>
                <w:iCs/>
                <w:sz w:val="22"/>
                <w:szCs w:val="22"/>
                <w:lang w:eastAsia="sv-SE"/>
              </w:rPr>
              <w:t>The type of underlying asset(s) is/are: [ ].</w:t>
            </w:r>
          </w:p>
        </w:tc>
      </w:tr>
    </w:tbl>
    <w:p w:rsidR="008D78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
        <w:gridCol w:w="1666"/>
        <w:gridCol w:w="9"/>
        <w:gridCol w:w="6388"/>
      </w:tblGrid>
      <w:tr w:rsidTr="008D78E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blHeader/>
        </w:trPr>
        <w:tc>
          <w:tcPr>
            <w:tcW w:w="377" w:type="pct"/>
            <w:tcBorders>
              <w:bottom w:val="single" w:sz="4" w:space="0" w:color="auto"/>
            </w:tcBorders>
          </w:tcPr>
          <w:p w:rsidR="008D78E3" w:rsidRPr="00293B1F" w:rsidP="008D78E3">
            <w:pPr>
              <w:pStyle w:val="BodyText"/>
              <w:keepNext/>
              <w:pageBreakBefore/>
              <w:jc w:val="center"/>
              <w:rPr>
                <w:b/>
                <w:bCs/>
              </w:rPr>
            </w:pPr>
            <w:r>
              <w:rPr>
                <w:rFonts w:eastAsia="SimSun" w:cs="Times New Roman"/>
                <w:lang w:eastAsia="zh-CN" w:bidi="he-IL"/>
              </w:rPr>
              <w:br w:type="page"/>
            </w:r>
          </w:p>
        </w:tc>
        <w:tc>
          <w:tcPr>
            <w:tcW w:w="4623" w:type="pct"/>
            <w:gridSpan w:val="3"/>
            <w:tcBorders>
              <w:bottom w:val="single" w:sz="4" w:space="0" w:color="auto"/>
            </w:tcBorders>
          </w:tcPr>
          <w:p w:rsidR="00BC0214" w:rsidRPr="00293B1F" w:rsidP="00A848AF">
            <w:pPr>
              <w:pStyle w:val="BodyText"/>
              <w:jc w:val="center"/>
              <w:rPr>
                <w:b/>
                <w:bCs/>
              </w:rPr>
            </w:pPr>
            <w:r w:rsidRPr="00293B1F">
              <w:rPr>
                <w:b/>
                <w:bCs/>
              </w:rPr>
              <w:t>Section D - Risks</w:t>
            </w:r>
          </w:p>
        </w:tc>
      </w:tr>
      <w:tr w:rsidTr="008D78E3">
        <w:tblPrEx>
          <w:tblW w:w="5000" w:type="pct"/>
          <w:tblLook w:val="0000"/>
        </w:tblPrEx>
        <w:tc>
          <w:tcPr>
            <w:tcW w:w="377" w:type="pct"/>
            <w:tcBorders>
              <w:bottom w:val="nil"/>
            </w:tcBorders>
          </w:tcPr>
          <w:p w:rsidR="00BC0214" w:rsidRPr="00293B1F" w:rsidP="00F3587A">
            <w:pPr>
              <w:pStyle w:val="BodyText"/>
              <w:rPr>
                <w:b/>
                <w:bCs/>
                <w:noProof/>
              </w:rPr>
            </w:pPr>
            <w:r w:rsidRPr="00293B1F">
              <w:rPr>
                <w:b/>
                <w:bCs/>
                <w:noProof/>
              </w:rPr>
              <w:t>D.2</w:t>
            </w:r>
          </w:p>
        </w:tc>
        <w:tc>
          <w:tcPr>
            <w:tcW w:w="960" w:type="pct"/>
            <w:gridSpan w:val="2"/>
            <w:tcBorders>
              <w:bottom w:val="nil"/>
            </w:tcBorders>
          </w:tcPr>
          <w:p w:rsidR="00BC0214" w:rsidRPr="00293B1F" w:rsidP="00F3587A">
            <w:pPr>
              <w:pStyle w:val="BodyText"/>
              <w:jc w:val="left"/>
              <w:rPr>
                <w:b/>
                <w:bCs/>
                <w:noProof/>
              </w:rPr>
            </w:pPr>
            <w:r w:rsidRPr="00293B1F">
              <w:rPr>
                <w:b/>
                <w:bCs/>
                <w:noProof/>
              </w:rPr>
              <w:t>Risks Specific to the Issuer:</w:t>
            </w:r>
          </w:p>
        </w:tc>
        <w:tc>
          <w:tcPr>
            <w:tcW w:w="3663" w:type="pct"/>
            <w:tcBorders>
              <w:bottom w:val="nil"/>
            </w:tcBorders>
          </w:tcPr>
          <w:p w:rsidR="00BC0214" w:rsidRPr="00293B1F" w:rsidP="00735241">
            <w:pPr>
              <w:pStyle w:val="BodyText"/>
              <w:rPr>
                <w:bCs/>
                <w:iCs/>
              </w:rPr>
            </w:pPr>
            <w:r w:rsidRPr="00293B1F">
              <w:rPr>
                <w:bCs/>
                <w:iCs/>
              </w:rPr>
              <w:t>In purchasing Instruments, investors assume the risk that the Issuer</w:t>
            </w:r>
            <w:r>
              <w:rPr>
                <w:rStyle w:val="FootnoteReference"/>
                <w:b/>
                <w:bCs/>
              </w:rPr>
              <w:footnoteReference w:id="15"/>
            </w:r>
            <w:r w:rsidRPr="00293B1F">
              <w:rPr>
                <w:bCs/>
                <w:iCs/>
              </w:rPr>
              <w:t xml:space="preserve"> may become insolvent or otherwise be unable to make all payments due in respect of the Instruments. There is a wide range of factors which individually or together could result in the Issuer becoming unable to make all payments due in respect of the Instruments. It is not possible to identify all such factors or to determine which factors are most likely to occur, as the Issuer may not be aware of all relevant factors and certain factors which it currently deems not to be material may become material as a result of the occurrence of events outside the Issuer's</w:t>
            </w:r>
            <w:r w:rsidRPr="00A848AF" w:rsidR="00A848AF">
              <w:rPr>
                <w:bCs/>
                <w:iCs/>
                <w:vertAlign w:val="superscript"/>
              </w:rPr>
              <w:t>1</w:t>
            </w:r>
            <w:r w:rsidR="00735241">
              <w:rPr>
                <w:bCs/>
                <w:iCs/>
                <w:vertAlign w:val="superscript"/>
              </w:rPr>
              <w:t>4</w:t>
            </w:r>
            <w:r w:rsidRPr="00293B1F">
              <w:rPr>
                <w:bCs/>
                <w:iCs/>
              </w:rPr>
              <w:t xml:space="preserve"> control. The Issuer</w:t>
            </w:r>
            <w:r w:rsidRPr="00A848AF" w:rsidR="00A848AF">
              <w:rPr>
                <w:bCs/>
                <w:iCs/>
                <w:vertAlign w:val="superscript"/>
              </w:rPr>
              <w:t>1</w:t>
            </w:r>
            <w:r w:rsidR="00735241">
              <w:rPr>
                <w:bCs/>
                <w:iCs/>
                <w:vertAlign w:val="superscript"/>
              </w:rPr>
              <w:t>4</w:t>
            </w:r>
            <w:r w:rsidRPr="00293B1F">
              <w:rPr>
                <w:bCs/>
                <w:iCs/>
              </w:rPr>
              <w:t xml:space="preserve"> ha</w:t>
            </w:r>
            <w:r w:rsidR="00E86D1C">
              <w:rPr>
                <w:bCs/>
                <w:iCs/>
              </w:rPr>
              <w:t>s</w:t>
            </w:r>
            <w:r w:rsidRPr="00293B1F">
              <w:rPr>
                <w:bCs/>
                <w:iCs/>
              </w:rPr>
              <w:t xml:space="preserve"> identified in the Base Prospectus a number of factors which could materially adversely affect its business and ability to make payments due under the Instruments. These factors include:</w:t>
            </w:r>
          </w:p>
        </w:tc>
      </w:tr>
      <w:tr w:rsidTr="008D78E3">
        <w:tblPrEx>
          <w:tblW w:w="5000" w:type="pct"/>
          <w:tblLook w:val="0000"/>
        </w:tblPrEx>
        <w:tc>
          <w:tcPr>
            <w:tcW w:w="377" w:type="pct"/>
            <w:tcBorders>
              <w:top w:val="nil"/>
              <w:bottom w:val="nil"/>
            </w:tcBorders>
          </w:tcPr>
          <w:p w:rsidR="00BC0214" w:rsidRPr="00293B1F" w:rsidP="00F3587A">
            <w:pPr>
              <w:pStyle w:val="BodyText"/>
              <w:keepNext/>
              <w:widowControl w:val="0"/>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pPr>
            <w:r w:rsidRPr="00293B1F">
              <w:rPr>
                <w:b/>
                <w:bCs/>
                <w:i/>
              </w:rPr>
              <w:t>Risks relating to current macroeconomic conditions</w:t>
            </w:r>
          </w:p>
        </w:tc>
      </w:tr>
      <w:tr w:rsidTr="008D78E3">
        <w:tblPrEx>
          <w:tblW w:w="5000" w:type="pct"/>
          <w:tblLook w:val="0000"/>
        </w:tblPrEx>
        <w:tc>
          <w:tcPr>
            <w:tcW w:w="377" w:type="pct"/>
            <w:tcBorders>
              <w:top w:val="nil"/>
              <w:bottom w:val="nil"/>
            </w:tcBorders>
          </w:tcPr>
          <w:p w:rsidR="00BC0214" w:rsidRPr="00293B1F" w:rsidP="00F3587A">
            <w:pPr>
              <w:pStyle w:val="BodyText"/>
              <w:widowControl w:val="0"/>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rPr>
                <w:b/>
                <w:bCs/>
                <w:i/>
              </w:rPr>
            </w:pPr>
            <w:r w:rsidRPr="00293B1F">
              <w:rPr>
                <w:iCs/>
              </w:rPr>
              <w:t>Risks related to the European economic crisis have had and, despite the recent period of moderate stabilisation, may continue to have, a negative impact on global economic activity and the financial markets.  If these conditions continue to persist, or should there be any further turbulence in these or other markets, this could have a material adverse effect on the Nordea Group's ability to access capital and liquidity on financial terms acceptable to the Nordea Group.</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pPr>
            <w:r w:rsidRPr="00293B1F">
              <w:rPr>
                <w:iCs/>
              </w:rPr>
              <w:t>Furthermore, the Nordea Group's performance is significantly influenced by the general economic condition in the countries in which it operates, in particular the Nordic markets (Denmark, Finland, Norway and Sweden). Negative economic developments and conditions in the markets in which it operates can adversely affect its business, financial condition and results of operations, and measures implemented by the Nordea Group might not be satisfactory to reduce any credit, market and liquidity risks.</w:t>
            </w:r>
          </w:p>
        </w:tc>
      </w:tr>
      <w:tr w:rsidTr="008D78E3">
        <w:tblPrEx>
          <w:tblW w:w="5000" w:type="pct"/>
          <w:tblLook w:val="0000"/>
        </w:tblPrEx>
        <w:trPr>
          <w:cantSplit/>
        </w:trPr>
        <w:tc>
          <w:tcPr>
            <w:tcW w:w="377" w:type="pct"/>
            <w:tcBorders>
              <w:top w:val="nil"/>
              <w:bottom w:val="nil"/>
            </w:tcBorders>
          </w:tcPr>
          <w:p w:rsidR="00BC0214" w:rsidRPr="00293B1F" w:rsidP="00F3587A">
            <w:pPr>
              <w:pStyle w:val="BodyText"/>
              <w:keepN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pPr>
            <w:r w:rsidRPr="00293B1F">
              <w:rPr>
                <w:b/>
                <w:bCs/>
                <w:i/>
              </w:rPr>
              <w:t>Risks relating to the Nordea Group's credit portfolio</w:t>
            </w:r>
          </w:p>
        </w:tc>
      </w:tr>
      <w:tr w:rsidTr="00A848AF">
        <w:tblPrEx>
          <w:tblW w:w="5000" w:type="pct"/>
          <w:tblLook w:val="0000"/>
        </w:tblPrEx>
        <w:trPr>
          <w:cantSplit/>
        </w:trPr>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rPr>
                <w:b/>
                <w:bCs/>
                <w:i/>
              </w:rPr>
            </w:pPr>
            <w:r w:rsidRPr="00293B1F">
              <w:rPr>
                <w:iCs/>
              </w:rPr>
              <w:t xml:space="preserve">Adverse changes in the credit quality of the Nordea Group's borrowers and counterparties or a decrease in collateral values are likely to affect the recoverability and value of the Nordea Group's assets and require an increase in its individual provisions and potentially in collective provisions for impaired loans.  A significant increase in the size of the Nordea Group's allowance for loan losses and loan losses not covered by allowances would have a material adverse effect on the Nordea Group's business, financial condition and results of operations.  </w:t>
            </w:r>
          </w:p>
        </w:tc>
      </w:tr>
      <w:tr w:rsidTr="00A848AF">
        <w:tblPrEx>
          <w:tblW w:w="5000" w:type="pct"/>
          <w:tblLook w:val="0000"/>
        </w:tblPrEx>
        <w:tc>
          <w:tcPr>
            <w:tcW w:w="377" w:type="pct"/>
            <w:tcBorders>
              <w:top w:val="nil"/>
              <w:bottom w:val="single" w:sz="4" w:space="0" w:color="auto"/>
            </w:tcBorders>
          </w:tcPr>
          <w:p w:rsidR="00BC0214" w:rsidRPr="00293B1F" w:rsidP="00F3587A">
            <w:pPr>
              <w:pStyle w:val="BodyText"/>
              <w:rPr>
                <w:b/>
                <w:bCs/>
                <w:noProof/>
              </w:rPr>
            </w:pPr>
          </w:p>
        </w:tc>
        <w:tc>
          <w:tcPr>
            <w:tcW w:w="960" w:type="pct"/>
            <w:gridSpan w:val="2"/>
            <w:tcBorders>
              <w:top w:val="nil"/>
              <w:bottom w:val="single" w:sz="4" w:space="0" w:color="auto"/>
            </w:tcBorders>
          </w:tcPr>
          <w:p w:rsidR="00BC0214" w:rsidRPr="00293B1F" w:rsidP="00F3587A">
            <w:pPr>
              <w:pStyle w:val="BodyText"/>
              <w:keepNext/>
              <w:jc w:val="left"/>
              <w:rPr>
                <w:b/>
                <w:bCs/>
                <w:noProof/>
              </w:rPr>
            </w:pPr>
          </w:p>
        </w:tc>
        <w:tc>
          <w:tcPr>
            <w:tcW w:w="3663" w:type="pct"/>
            <w:tcBorders>
              <w:top w:val="nil"/>
              <w:bottom w:val="single" w:sz="4" w:space="0" w:color="auto"/>
            </w:tcBorders>
          </w:tcPr>
          <w:p w:rsidR="00BC0214" w:rsidRPr="00293B1F" w:rsidP="00C76D93">
            <w:pPr>
              <w:pStyle w:val="BodyText"/>
            </w:pPr>
            <w:r w:rsidRPr="00293B1F">
              <w:rPr>
                <w:iCs/>
              </w:rPr>
              <w:t xml:space="preserve">The Nordea Group is exposed to counterparty credit risk, settlement risk and transfer risk on transactions executed in the </w:t>
            </w:r>
            <w:r w:rsidRPr="00C76D93">
              <w:rPr>
                <w:bCs/>
                <w:iCs/>
              </w:rPr>
              <w:t>financial</w:t>
            </w:r>
            <w:r w:rsidRPr="00293B1F">
              <w:rPr>
                <w:iCs/>
              </w:rPr>
              <w:t xml:space="preserve"> services industry and its transactions in financial instruments. If counterparties default on their obligations, this could have a material adverse effect on the Nordea Group's business, financial condition and results of operations.</w:t>
            </w:r>
          </w:p>
        </w:tc>
      </w:tr>
      <w:tr w:rsidTr="00A848AF">
        <w:tblPrEx>
          <w:tblW w:w="5000" w:type="pct"/>
          <w:tblLook w:val="0000"/>
        </w:tblPrEx>
        <w:trPr>
          <w:cantSplit/>
        </w:trPr>
        <w:tc>
          <w:tcPr>
            <w:tcW w:w="377" w:type="pct"/>
            <w:tcBorders>
              <w:top w:val="single" w:sz="4" w:space="0" w:color="auto"/>
              <w:bottom w:val="nil"/>
            </w:tcBorders>
          </w:tcPr>
          <w:p w:rsidR="00BC0214" w:rsidRPr="00293B1F" w:rsidP="00F3587A">
            <w:pPr>
              <w:pStyle w:val="BodyText"/>
              <w:keepNext/>
              <w:rPr>
                <w:b/>
                <w:bCs/>
                <w:noProof/>
              </w:rPr>
            </w:pPr>
          </w:p>
        </w:tc>
        <w:tc>
          <w:tcPr>
            <w:tcW w:w="960" w:type="pct"/>
            <w:gridSpan w:val="2"/>
            <w:tcBorders>
              <w:top w:val="single" w:sz="4" w:space="0" w:color="auto"/>
              <w:bottom w:val="nil"/>
            </w:tcBorders>
          </w:tcPr>
          <w:p w:rsidR="00BC0214" w:rsidRPr="00293B1F" w:rsidP="00F3587A">
            <w:pPr>
              <w:pStyle w:val="BodyText"/>
              <w:keepNext/>
              <w:jc w:val="left"/>
              <w:rPr>
                <w:b/>
                <w:bCs/>
                <w:noProof/>
              </w:rPr>
            </w:pPr>
          </w:p>
        </w:tc>
        <w:tc>
          <w:tcPr>
            <w:tcW w:w="3663" w:type="pct"/>
            <w:tcBorders>
              <w:top w:val="single" w:sz="4" w:space="0" w:color="auto"/>
              <w:bottom w:val="nil"/>
            </w:tcBorders>
          </w:tcPr>
          <w:p w:rsidR="00BC0214" w:rsidRPr="00293B1F" w:rsidP="00C76D93">
            <w:pPr>
              <w:pStyle w:val="BodyText"/>
            </w:pPr>
            <w:r w:rsidRPr="00293B1F">
              <w:rPr>
                <w:b/>
                <w:bCs/>
                <w:i/>
              </w:rPr>
              <w:t>Risks relating to market exposure</w:t>
            </w:r>
          </w:p>
        </w:tc>
      </w:tr>
      <w:tr w:rsidTr="00A848AF">
        <w:tblPrEx>
          <w:tblW w:w="5000" w:type="pct"/>
          <w:tblLook w:val="0000"/>
        </w:tblPrEx>
        <w:trPr>
          <w:cantSplit/>
        </w:trPr>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rPr>
                <w:b/>
                <w:bCs/>
                <w:i/>
              </w:rPr>
            </w:pPr>
            <w:r w:rsidRPr="00293B1F">
              <w:rPr>
                <w:iCs/>
              </w:rPr>
              <w:t>The value of financial instruments held by Nordea Group is sensitive to volatility of and correlations between various market variables, including interest rates, credit spreads, equity prices and foreign exchange rates. Write-downs or realise impairment charges may have a material adverse effect on the Nordea Group's business, financial condition and results of operations, while the performance of financial markets and volatile market conditions could result in a significant decline in the Nordea Group's trading and investment income, or result in a trading loss.</w:t>
            </w:r>
          </w:p>
        </w:tc>
      </w:tr>
      <w:tr w:rsidTr="00A848AF">
        <w:tblPrEx>
          <w:tblW w:w="5000" w:type="pct"/>
          <w:tblLook w:val="0000"/>
        </w:tblPrEx>
        <w:tc>
          <w:tcPr>
            <w:tcW w:w="377" w:type="pct"/>
            <w:tcBorders>
              <w:top w:val="nil"/>
              <w:bottom w:val="nil"/>
            </w:tcBorders>
          </w:tcPr>
          <w:p w:rsidR="00BC0214" w:rsidRPr="00293B1F" w:rsidP="00F3587A">
            <w:pPr>
              <w:pStyle w:val="BodyText"/>
              <w:keepN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F3587A">
            <w:pPr>
              <w:pStyle w:val="BodyText"/>
              <w:keepNext/>
            </w:pPr>
            <w:r w:rsidRPr="00293B1F">
              <w:rPr>
                <w:b/>
                <w:bCs/>
                <w:i/>
              </w:rPr>
              <w:t>The Nordea Group is exposed to structural market risk</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rPr>
                <w:b/>
                <w:bCs/>
                <w:i/>
              </w:rPr>
            </w:pPr>
            <w:r w:rsidRPr="00293B1F">
              <w:rPr>
                <w:iCs/>
              </w:rPr>
              <w:t xml:space="preserve">The Nordea Group is exposed to structural interest income risk when there is a mismatch between the interest rate re-pricing periods, volumes or reference rates of its assets, liabilities and derivatives.  It is also exposed to currency translation risk primarily as a </w:t>
            </w:r>
            <w:r w:rsidRPr="00C76D93">
              <w:rPr>
                <w:bCs/>
                <w:iCs/>
              </w:rPr>
              <w:t>result</w:t>
            </w:r>
            <w:r w:rsidRPr="00293B1F">
              <w:rPr>
                <w:iCs/>
              </w:rPr>
              <w:t xml:space="preserve"> of its Swedish and Norwegian banking businesses, as it prepares its consolidated financial statements in its functional currency, the euro.  Any mismatch in any given period in the event of changes in interest rates, or failure to successfully hedge currency risk exposure, could have a material adverse effect on the Nordea Group's financial condition and results of operations.</w:t>
            </w:r>
          </w:p>
        </w:tc>
      </w:tr>
      <w:tr w:rsidTr="008D78E3">
        <w:tblPrEx>
          <w:tblW w:w="5000" w:type="pct"/>
          <w:tblLook w:val="0000"/>
        </w:tblPrEx>
        <w:tc>
          <w:tcPr>
            <w:tcW w:w="377" w:type="pct"/>
            <w:tcBorders>
              <w:top w:val="nil"/>
              <w:bottom w:val="nil"/>
            </w:tcBorders>
          </w:tcPr>
          <w:p w:rsidR="00BC0214" w:rsidRPr="00293B1F" w:rsidP="00F3587A">
            <w:pPr>
              <w:pStyle w:val="BodyText"/>
              <w:keepN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pPr>
            <w:r w:rsidRPr="00293B1F">
              <w:rPr>
                <w:b/>
                <w:bCs/>
                <w:i/>
              </w:rPr>
              <w:t>Risks relating to liquidity and capital requirements</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rPr>
                <w:b/>
                <w:bCs/>
                <w:i/>
              </w:rPr>
            </w:pPr>
            <w:r w:rsidRPr="00293B1F">
              <w:rPr>
                <w:iCs/>
              </w:rPr>
              <w:t xml:space="preserve">A substantial part of the Nordea Group's liquidity and funding requirements is met through reliance on customer deposits, as well as ongoing access to wholesale lending markets, including issuance of long-term debt market instruments such as covered bonds.  Turbulence in the global financial markets and economy may </w:t>
            </w:r>
            <w:r w:rsidRPr="00C76D93">
              <w:rPr>
                <w:bCs/>
                <w:iCs/>
              </w:rPr>
              <w:t>adversely</w:t>
            </w:r>
            <w:r w:rsidRPr="00293B1F">
              <w:rPr>
                <w:iCs/>
              </w:rPr>
              <w:t xml:space="preserve"> affect the Nordea Group's liquidity and the willingness of certain counterparties and customers to do business with the Nordea Group.</w:t>
            </w:r>
          </w:p>
        </w:tc>
      </w:tr>
      <w:tr w:rsidTr="00A848AF">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E86D1C">
            <w:pPr>
              <w:pStyle w:val="BodyText"/>
            </w:pPr>
            <w:r w:rsidRPr="00293B1F">
              <w:rPr>
                <w:iCs/>
              </w:rPr>
              <w:t xml:space="preserve">The Nordea Group's business performance could be affected if the capital adequacy ratios it is required to maintain under the legislative package comprising Directive 2013/36/EU, Regulation (EU) No. 575/2013 and any regulatory capital rules or regulations, or other requirements, which </w:t>
            </w:r>
            <w:r w:rsidR="00E86D1C">
              <w:rPr>
                <w:iCs/>
              </w:rPr>
              <w:t>are applicable to the Issuer</w:t>
            </w:r>
            <w:r w:rsidRPr="00293B1F">
              <w:rPr>
                <w:iCs/>
              </w:rPr>
              <w:t xml:space="preserve"> or the Nordea Group and which prescribe (alone or in conjunction with any other rules or regulations) the requirements to be fulfilled by financial instruments for their inclusion in the regulatory capital of the Issuer or the Nordea Group (on a solo or consolidated basis, as the case may be) to the extent required by Directive 2013/36/EU or Regulation (EU) No. 575/2013, including for the avoidance of doubt any regulatory technical standards released by the European Banking Authority (or any successor or replacement thereof) ("</w:t>
            </w:r>
            <w:r w:rsidRPr="00293B1F">
              <w:rPr>
                <w:b/>
                <w:iCs/>
              </w:rPr>
              <w:t>CRD IV</w:t>
            </w:r>
            <w:r w:rsidRPr="00293B1F">
              <w:rPr>
                <w:iCs/>
              </w:rPr>
              <w:t>") are reduced or perceived to be inadequate.</w:t>
            </w:r>
          </w:p>
        </w:tc>
      </w:tr>
      <w:tr w:rsidTr="00A848AF">
        <w:tblPrEx>
          <w:tblW w:w="5000" w:type="pct"/>
          <w:tblLook w:val="0000"/>
        </w:tblPrEx>
        <w:tc>
          <w:tcPr>
            <w:tcW w:w="377" w:type="pct"/>
            <w:tcBorders>
              <w:top w:val="nil"/>
              <w:bottom w:val="single" w:sz="4" w:space="0" w:color="auto"/>
            </w:tcBorders>
          </w:tcPr>
          <w:p w:rsidR="00BC0214" w:rsidRPr="00293B1F" w:rsidP="00F3587A">
            <w:pPr>
              <w:pStyle w:val="BodyText"/>
              <w:rPr>
                <w:b/>
                <w:bCs/>
                <w:noProof/>
              </w:rPr>
            </w:pPr>
          </w:p>
        </w:tc>
        <w:tc>
          <w:tcPr>
            <w:tcW w:w="960" w:type="pct"/>
            <w:gridSpan w:val="2"/>
            <w:tcBorders>
              <w:top w:val="nil"/>
              <w:bottom w:val="single" w:sz="4" w:space="0" w:color="auto"/>
            </w:tcBorders>
          </w:tcPr>
          <w:p w:rsidR="00BC0214" w:rsidRPr="00293B1F" w:rsidP="00F3587A">
            <w:pPr>
              <w:pStyle w:val="BodyText"/>
              <w:jc w:val="left"/>
              <w:rPr>
                <w:b/>
                <w:bCs/>
                <w:noProof/>
              </w:rPr>
            </w:pPr>
          </w:p>
        </w:tc>
        <w:tc>
          <w:tcPr>
            <w:tcW w:w="3663" w:type="pct"/>
            <w:tcBorders>
              <w:top w:val="nil"/>
              <w:bottom w:val="single" w:sz="4" w:space="0" w:color="auto"/>
            </w:tcBorders>
          </w:tcPr>
          <w:p w:rsidR="00BC0214" w:rsidRPr="00293B1F" w:rsidP="00F3587A">
            <w:pPr>
              <w:pStyle w:val="BodyText"/>
            </w:pPr>
            <w:r w:rsidRPr="00293B1F">
              <w:rPr>
                <w:iCs/>
              </w:rPr>
              <w:t>The Nordea Group's funding costs and its access to the debt capital markets depend significantly on its credit ratings. A reduction in credit ratings could adversely affect the Nordea Group's access to liquidity and its competitive position, and therefore, have a material adverse effect on its business, financial condition and results of operations.</w:t>
            </w:r>
          </w:p>
        </w:tc>
      </w:tr>
      <w:tr w:rsidTr="00A848AF">
        <w:tblPrEx>
          <w:tblW w:w="5000" w:type="pct"/>
          <w:tblLook w:val="0000"/>
        </w:tblPrEx>
        <w:trPr>
          <w:cantSplit/>
        </w:trPr>
        <w:tc>
          <w:tcPr>
            <w:tcW w:w="377" w:type="pct"/>
            <w:tcBorders>
              <w:top w:val="single" w:sz="4" w:space="0" w:color="auto"/>
              <w:bottom w:val="nil"/>
            </w:tcBorders>
          </w:tcPr>
          <w:p w:rsidR="00BC0214" w:rsidRPr="00293B1F" w:rsidP="00F3587A">
            <w:pPr>
              <w:pStyle w:val="BodyText"/>
              <w:keepNext/>
              <w:rPr>
                <w:b/>
                <w:bCs/>
                <w:noProof/>
              </w:rPr>
            </w:pPr>
          </w:p>
        </w:tc>
        <w:tc>
          <w:tcPr>
            <w:tcW w:w="960" w:type="pct"/>
            <w:gridSpan w:val="2"/>
            <w:tcBorders>
              <w:top w:val="single" w:sz="4" w:space="0" w:color="auto"/>
              <w:bottom w:val="nil"/>
            </w:tcBorders>
          </w:tcPr>
          <w:p w:rsidR="00BC0214" w:rsidRPr="00293B1F" w:rsidP="00F3587A">
            <w:pPr>
              <w:pStyle w:val="BodyText"/>
              <w:keepNext/>
              <w:jc w:val="left"/>
              <w:rPr>
                <w:b/>
                <w:bCs/>
                <w:noProof/>
              </w:rPr>
            </w:pPr>
          </w:p>
        </w:tc>
        <w:tc>
          <w:tcPr>
            <w:tcW w:w="3663" w:type="pct"/>
            <w:tcBorders>
              <w:top w:val="single" w:sz="4" w:space="0" w:color="auto"/>
              <w:bottom w:val="nil"/>
            </w:tcBorders>
          </w:tcPr>
          <w:p w:rsidR="00BC0214" w:rsidRPr="00293B1F" w:rsidP="00C76D93">
            <w:pPr>
              <w:pStyle w:val="BodyText"/>
            </w:pPr>
            <w:r w:rsidRPr="00293B1F">
              <w:rPr>
                <w:b/>
                <w:bCs/>
                <w:i/>
              </w:rPr>
              <w:t>Other risks relating to the Nordea Group's business</w:t>
            </w:r>
          </w:p>
        </w:tc>
      </w:tr>
      <w:tr w:rsidTr="00A848AF">
        <w:tblPrEx>
          <w:tblW w:w="5000" w:type="pct"/>
          <w:tblLook w:val="0000"/>
        </w:tblPrEx>
        <w:trPr>
          <w:cantSplit/>
        </w:trPr>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rPr>
                <w:b/>
                <w:bCs/>
                <w:i/>
              </w:rPr>
            </w:pPr>
            <w:r w:rsidRPr="00293B1F">
              <w:rPr>
                <w:iCs/>
              </w:rPr>
              <w:t xml:space="preserve">The Nordea Group's business operations are dependent on the ability to process a large number of complex transactions across different markets in many currencies and operations are carried out through a number of entities. Although the Nordea Group has implemented risk controls and taken other actions to mitigate exposures and/or losses, there can be no assurances that such procedures will be effective in controlling each of the operational risks faced by the Nordea Group, or that the Nordea Group's reputation will not be damaged by the occurrence of any operational risks.  </w:t>
            </w:r>
          </w:p>
        </w:tc>
      </w:tr>
      <w:tr w:rsidTr="00A848AF">
        <w:tblPrEx>
          <w:tblW w:w="5000" w:type="pct"/>
          <w:tblLook w:val="0000"/>
        </w:tblPrEx>
        <w:trPr>
          <w:cantSplit/>
        </w:trPr>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C76D93">
            <w:pPr>
              <w:pStyle w:val="BodyText"/>
            </w:pPr>
            <w:r w:rsidRPr="00293B1F">
              <w:rPr>
                <w:iCs/>
              </w:rPr>
              <w:t xml:space="preserve">The Nordea Group's operations in Russia and the Baltic countries which are typically more volatile and less developed economically and politically than markets in Western Europe and North America – present various risks that do not apply, or apply to a lesser degree, to its businesses in the Nordic markets.  Additionally, some of these markets </w:t>
            </w:r>
            <w:r w:rsidRPr="00C76D93">
              <w:rPr>
                <w:bCs/>
                <w:iCs/>
              </w:rPr>
              <w:t>are</w:t>
            </w:r>
            <w:r w:rsidRPr="00293B1F">
              <w:rPr>
                <w:iCs/>
              </w:rPr>
              <w:t xml:space="preserve"> typically more volatile and less developed economically and politically than markets in Western Europe and North America.  </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rPr>
                <w:iCs/>
              </w:rPr>
            </w:pPr>
            <w:r w:rsidRPr="00293B1F">
              <w:rPr>
                <w:iCs/>
              </w:rPr>
              <w:t xml:space="preserve">The Nordea Group's performance is, to a large extent, dependent on the talents and efforts of highly skilled individuals, and the continued ability of the Nordea Group to compete effectively and implement its strategy depends on its ability to attract new employees and retain and motivate existing employees. New regulatory restrictions, such as the recently introduced limits on certain types of remuneration paid by credit institutions and investment firms set forth in CRD IV, could adversely affect the Nordea Group's ability to attract new employees and retain and motivate existing employees. Any loss of the services of key employees, particularly to competitors, or the inability to attract and retain highly skilled personnel in the future could have an adverse effect on the Nordea Group's business. </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047154">
            <w:pPr>
              <w:pStyle w:val="BodyText"/>
              <w:rPr>
                <w:iCs/>
              </w:rPr>
            </w:pPr>
            <w:r w:rsidRPr="00293B1F">
              <w:rPr>
                <w:iCs/>
              </w:rPr>
              <w:t xml:space="preserve">There is competition for the types of banking and other products and services that the Nordea Group provides and </w:t>
            </w:r>
            <w:r w:rsidRPr="00C76D93">
              <w:rPr>
                <w:bCs/>
                <w:iCs/>
              </w:rPr>
              <w:t>there</w:t>
            </w:r>
            <w:r w:rsidRPr="00293B1F">
              <w:rPr>
                <w:iCs/>
              </w:rPr>
              <w:t xml:space="preserve"> can be no assurances that the Nordea Group can maintain its competitive position.  </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F3587A">
            <w:pPr>
              <w:pStyle w:val="BodyText"/>
              <w:spacing w:after="160"/>
            </w:pPr>
            <w:r>
              <w:rPr>
                <w:rStyle w:val="FootnoteReference"/>
                <w:b/>
                <w:bCs/>
                <w:i/>
              </w:rPr>
              <w:footnoteReference w:id="16"/>
            </w:r>
            <w:r w:rsidRPr="00293B1F">
              <w:rPr>
                <w:b/>
                <w:bCs/>
                <w:i/>
              </w:rPr>
              <w:t>Risks relating to the legal and regulatory environments in which the Nordea Group operates</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rPr>
            </w:pPr>
          </w:p>
        </w:tc>
        <w:tc>
          <w:tcPr>
            <w:tcW w:w="960" w:type="pct"/>
            <w:gridSpan w:val="2"/>
            <w:tcBorders>
              <w:top w:val="nil"/>
              <w:bottom w:val="nil"/>
            </w:tcBorders>
          </w:tcPr>
          <w:p w:rsidR="00BC0214" w:rsidRPr="00293B1F" w:rsidP="00F3587A">
            <w:pPr>
              <w:pStyle w:val="BodyText"/>
              <w:jc w:val="left"/>
              <w:rPr>
                <w:b/>
                <w:bCs/>
                <w:noProof/>
              </w:rPr>
            </w:pPr>
          </w:p>
        </w:tc>
        <w:tc>
          <w:tcPr>
            <w:tcW w:w="3663" w:type="pct"/>
            <w:tcBorders>
              <w:top w:val="nil"/>
              <w:bottom w:val="nil"/>
            </w:tcBorders>
          </w:tcPr>
          <w:p w:rsidR="00BC0214" w:rsidRPr="00293B1F" w:rsidP="00C76D93">
            <w:pPr>
              <w:pStyle w:val="BodyText"/>
              <w:rPr>
                <w:b/>
                <w:bCs/>
                <w:i/>
              </w:rPr>
            </w:pPr>
            <w:r w:rsidRPr="00293B1F">
              <w:rPr>
                <w:iCs/>
              </w:rPr>
              <w:t>The Nordea Group is subject to substantial regulation and oversight by a number of different regulators as well as laws and regulations, administrative actions and policies in each of the jurisdictions in which it operates, all of which are subject to change, and compliance with which may from time to time require significant costs.</w:t>
            </w:r>
          </w:p>
        </w:tc>
      </w:tr>
      <w:tr w:rsidTr="008D78E3">
        <w:tblPrEx>
          <w:tblW w:w="5000" w:type="pct"/>
          <w:tblLook w:val="0000"/>
        </w:tblPrEx>
        <w:tc>
          <w:tcPr>
            <w:tcW w:w="377" w:type="pct"/>
            <w:tcBorders>
              <w:top w:val="nil"/>
              <w:bottom w:val="single" w:sz="4" w:space="0" w:color="auto"/>
            </w:tcBorders>
          </w:tcPr>
          <w:p w:rsidR="00BC0214" w:rsidRPr="00293B1F" w:rsidP="00F3587A">
            <w:pPr>
              <w:pStyle w:val="BodyText"/>
              <w:rPr>
                <w:b/>
                <w:bCs/>
                <w:noProof/>
              </w:rPr>
            </w:pPr>
          </w:p>
        </w:tc>
        <w:tc>
          <w:tcPr>
            <w:tcW w:w="960" w:type="pct"/>
            <w:gridSpan w:val="2"/>
            <w:tcBorders>
              <w:top w:val="nil"/>
              <w:bottom w:val="single" w:sz="4" w:space="0" w:color="auto"/>
            </w:tcBorders>
          </w:tcPr>
          <w:p w:rsidR="00BC0214" w:rsidRPr="00293B1F" w:rsidP="00F3587A">
            <w:pPr>
              <w:pStyle w:val="BodyText"/>
              <w:keepNext/>
              <w:jc w:val="left"/>
              <w:rPr>
                <w:b/>
                <w:bCs/>
                <w:noProof/>
              </w:rPr>
            </w:pPr>
          </w:p>
        </w:tc>
        <w:tc>
          <w:tcPr>
            <w:tcW w:w="3663" w:type="pct"/>
            <w:tcBorders>
              <w:top w:val="nil"/>
              <w:bottom w:val="single" w:sz="4" w:space="0" w:color="auto"/>
            </w:tcBorders>
          </w:tcPr>
          <w:p w:rsidR="00BC0214" w:rsidRPr="00293B1F" w:rsidP="00C76D93">
            <w:pPr>
              <w:pStyle w:val="BodyText"/>
            </w:pPr>
            <w:r w:rsidRPr="00293B1F">
              <w:rPr>
                <w:iCs/>
              </w:rPr>
              <w:t xml:space="preserve">The Nordea Group may incur substantial costs in monitoring and complying with new capital adequacy and </w:t>
            </w:r>
            <w:r w:rsidRPr="00C76D93">
              <w:rPr>
                <w:bCs/>
                <w:iCs/>
              </w:rPr>
              <w:t>recovery</w:t>
            </w:r>
            <w:r w:rsidRPr="00293B1F">
              <w:rPr>
                <w:iCs/>
              </w:rPr>
              <w:t xml:space="preserve"> and resolution framework requirements, which may also impact existing business models.  In addition, there can also be no assurances that breaches of legislation or regulations by the Nordea Group will not occur and, to the extent that such a breach does occur, that significant liability or penalties will not be incurred.</w:t>
            </w:r>
          </w:p>
        </w:tc>
      </w:tr>
      <w:tr w:rsidTr="008D78E3">
        <w:tblPrEx>
          <w:tblW w:w="5000" w:type="pct"/>
          <w:tblLook w:val="0000"/>
        </w:tblPrEx>
        <w:trPr>
          <w:cantSplit/>
        </w:trPr>
        <w:tc>
          <w:tcPr>
            <w:tcW w:w="377" w:type="pct"/>
            <w:tcBorders>
              <w:bottom w:val="nil"/>
            </w:tcBorders>
          </w:tcPr>
          <w:p w:rsidR="00BC0214" w:rsidRPr="00293B1F" w:rsidP="00F3587A">
            <w:pPr>
              <w:pStyle w:val="BodyText"/>
              <w:rPr>
                <w:b/>
                <w:bCs/>
                <w:noProof/>
              </w:rPr>
            </w:pPr>
          </w:p>
        </w:tc>
        <w:tc>
          <w:tcPr>
            <w:tcW w:w="960" w:type="pct"/>
            <w:gridSpan w:val="2"/>
            <w:tcBorders>
              <w:bottom w:val="nil"/>
            </w:tcBorders>
          </w:tcPr>
          <w:p w:rsidR="00BC0214" w:rsidRPr="00293B1F" w:rsidP="00F3587A">
            <w:pPr>
              <w:pStyle w:val="BodyText"/>
              <w:jc w:val="left"/>
              <w:rPr>
                <w:b/>
                <w:bCs/>
                <w:noProof/>
              </w:rPr>
            </w:pPr>
          </w:p>
        </w:tc>
        <w:tc>
          <w:tcPr>
            <w:tcW w:w="3663" w:type="pct"/>
            <w:tcBorders>
              <w:bottom w:val="nil"/>
            </w:tcBorders>
          </w:tcPr>
          <w:p w:rsidR="00BC0214" w:rsidRPr="00293B1F" w:rsidP="00C76D93">
            <w:pPr>
              <w:pStyle w:val="BodyText"/>
            </w:pPr>
            <w:r w:rsidRPr="006E67D6">
              <w:rPr>
                <w:iCs/>
              </w:rPr>
              <w:t xml:space="preserve">In the ordinary course of its business, the Nordea Group is subject to regulatory oversight and liability risk and is involved in a variety of claims, disputes, legal proceedings and </w:t>
            </w:r>
            <w:r w:rsidRPr="00826A2A">
              <w:rPr>
                <w:bCs/>
                <w:iCs/>
              </w:rPr>
              <w:t>governmental</w:t>
            </w:r>
            <w:r w:rsidRPr="006E67D6">
              <w:rPr>
                <w:iCs/>
              </w:rPr>
              <w:t xml:space="preserve"> investigations in jurisdictions where it is active.  These types of claims and proceedings expose the Nordea Group to monetary damages, direct or indirect costs (including legal costs), direct or indirect financial loss, civil and criminal penalties, loss of licences or authorisations, or loss of reputation, criticism or penalties by supervisory authorities as well as the potential for regulatory restrictions on its businesses.  </w:t>
            </w:r>
          </w:p>
        </w:tc>
      </w:tr>
      <w:tr w:rsidTr="008D78E3">
        <w:tblPrEx>
          <w:tblW w:w="5000" w:type="pct"/>
          <w:tblLook w:val="0000"/>
        </w:tblPrEx>
        <w:tc>
          <w:tcPr>
            <w:tcW w:w="377" w:type="pct"/>
            <w:tcBorders>
              <w:top w:val="nil"/>
              <w:bottom w:val="nil"/>
            </w:tcBorders>
          </w:tcPr>
          <w:p w:rsidR="00BC0214" w:rsidRPr="00293B1F" w:rsidP="00F3587A">
            <w:pPr>
              <w:pStyle w:val="BodyText"/>
              <w:keepNext/>
              <w:rPr>
                <w:b/>
                <w:bCs/>
                <w:noProof/>
              </w:rPr>
            </w:pPr>
          </w:p>
        </w:tc>
        <w:tc>
          <w:tcPr>
            <w:tcW w:w="960" w:type="pct"/>
            <w:gridSpan w:val="2"/>
            <w:tcBorders>
              <w:top w:val="nil"/>
              <w:bottom w:val="nil"/>
            </w:tcBorders>
          </w:tcPr>
          <w:p w:rsidR="00BC0214" w:rsidRPr="00293B1F" w:rsidP="00F3587A">
            <w:pPr>
              <w:pStyle w:val="BodyText"/>
              <w:keepNext/>
              <w:jc w:val="left"/>
              <w:rPr>
                <w:b/>
                <w:bCs/>
                <w:noProof/>
              </w:rPr>
            </w:pPr>
          </w:p>
        </w:tc>
        <w:tc>
          <w:tcPr>
            <w:tcW w:w="3663" w:type="pct"/>
            <w:tcBorders>
              <w:top w:val="nil"/>
              <w:bottom w:val="nil"/>
            </w:tcBorders>
          </w:tcPr>
          <w:p w:rsidR="00BC0214" w:rsidRPr="00293B1F" w:rsidP="00826A2A">
            <w:pPr>
              <w:pStyle w:val="BodyText"/>
            </w:pPr>
            <w:r w:rsidRPr="00293B1F">
              <w:rPr>
                <w:iCs/>
              </w:rPr>
              <w:t>The Nordea Group's activities are subject to tax at various rates around the world computed in accordance with local legislation and practice.  Legislative changes or decisions by tax authorities may impair the present or previous tax position of the Nordea Group.</w:t>
            </w:r>
          </w:p>
        </w:tc>
      </w:tr>
      <w:tr w:rsidTr="008D78E3">
        <w:tblPrEx>
          <w:tblW w:w="5000" w:type="pct"/>
          <w:tblLook w:val="0000"/>
        </w:tblPrEx>
        <w:tc>
          <w:tcPr>
            <w:tcW w:w="377" w:type="pct"/>
            <w:tcBorders>
              <w:top w:val="nil"/>
              <w:bottom w:val="single" w:sz="4" w:space="0" w:color="auto"/>
            </w:tcBorders>
          </w:tcPr>
          <w:p w:rsidR="00BC0214" w:rsidRPr="00293B1F" w:rsidP="00F3587A">
            <w:pPr>
              <w:pStyle w:val="BodyText"/>
              <w:keepNext/>
              <w:rPr>
                <w:b/>
                <w:bCs/>
                <w:noProof/>
              </w:rPr>
            </w:pPr>
          </w:p>
        </w:tc>
        <w:tc>
          <w:tcPr>
            <w:tcW w:w="960" w:type="pct"/>
            <w:gridSpan w:val="2"/>
            <w:tcBorders>
              <w:top w:val="nil"/>
              <w:bottom w:val="single" w:sz="4" w:space="0" w:color="auto"/>
            </w:tcBorders>
          </w:tcPr>
          <w:p w:rsidR="00BC0214" w:rsidRPr="00293B1F" w:rsidP="00F3587A">
            <w:pPr>
              <w:pStyle w:val="BodyText"/>
              <w:keepNext/>
              <w:jc w:val="left"/>
              <w:rPr>
                <w:b/>
                <w:bCs/>
                <w:noProof/>
              </w:rPr>
            </w:pPr>
          </w:p>
        </w:tc>
        <w:tc>
          <w:tcPr>
            <w:tcW w:w="3663" w:type="pct"/>
            <w:tcBorders>
              <w:top w:val="nil"/>
              <w:bottom w:val="single" w:sz="4" w:space="0" w:color="auto"/>
            </w:tcBorders>
          </w:tcPr>
          <w:p w:rsidR="00BC0214" w:rsidRPr="00293B1F" w:rsidP="00826A2A">
            <w:pPr>
              <w:pStyle w:val="BodyText"/>
              <w:rPr>
                <w:iCs/>
              </w:rPr>
            </w:pPr>
            <w:r w:rsidRPr="00293B1F">
              <w:rPr>
                <w:iCs/>
              </w:rPr>
              <w:t>Changes in the accounting policies or accounting standards applicable to the Nordea Group could also materially affect how it reports its financial condition and results of operations.</w:t>
            </w:r>
          </w:p>
        </w:tc>
      </w:tr>
      <w:tr w:rsidTr="008D78E3">
        <w:tblPrEx>
          <w:tblW w:w="5000" w:type="pct"/>
          <w:tblLook w:val="0000"/>
        </w:tblPrEx>
        <w:tc>
          <w:tcPr>
            <w:tcW w:w="377" w:type="pct"/>
            <w:tcBorders>
              <w:bottom w:val="nil"/>
            </w:tcBorders>
          </w:tcPr>
          <w:p w:rsidR="00BC0214" w:rsidRPr="00293B1F" w:rsidP="00F3587A">
            <w:pPr>
              <w:pStyle w:val="BodyText"/>
              <w:rPr>
                <w:b/>
                <w:bCs/>
                <w:noProof/>
              </w:rPr>
            </w:pPr>
            <w:r w:rsidRPr="00293B1F">
              <w:rPr>
                <w:b/>
                <w:bCs/>
                <w:noProof/>
              </w:rPr>
              <w:t>D.6</w:t>
            </w:r>
          </w:p>
        </w:tc>
        <w:tc>
          <w:tcPr>
            <w:tcW w:w="960" w:type="pct"/>
            <w:gridSpan w:val="2"/>
            <w:tcBorders>
              <w:bottom w:val="nil"/>
            </w:tcBorders>
          </w:tcPr>
          <w:p w:rsidR="00BC0214" w:rsidRPr="00293B1F" w:rsidP="00826A2A">
            <w:pPr>
              <w:pStyle w:val="BodyText"/>
              <w:rPr>
                <w:b/>
                <w:bCs/>
                <w:noProof/>
              </w:rPr>
            </w:pPr>
            <w:r w:rsidRPr="00293B1F">
              <w:rPr>
                <w:b/>
                <w:bCs/>
              </w:rPr>
              <w:t>Risk Warning:</w:t>
            </w:r>
          </w:p>
        </w:tc>
        <w:tc>
          <w:tcPr>
            <w:tcW w:w="3663" w:type="pct"/>
            <w:tcBorders>
              <w:bottom w:val="nil"/>
            </w:tcBorders>
          </w:tcPr>
          <w:p w:rsidR="00BC0214" w:rsidRPr="00293B1F" w:rsidP="00826A2A">
            <w:pPr>
              <w:pStyle w:val="BodyText"/>
              <w:rPr>
                <w:szCs w:val="20"/>
              </w:rPr>
            </w:pPr>
            <w:r w:rsidRPr="00293B1F">
              <w:rPr>
                <w:iCs/>
                <w:szCs w:val="20"/>
                <w:lang w:eastAsia="sv-SE"/>
              </w:rPr>
              <w:t xml:space="preserve">This summary of risks represents only a brief description of certain important risks and does not constitute a full account of the risk factors pertaining to the Instruments. The investor should carefully study and consider these risks as well as other information provided in the Base Prospectus.  </w:t>
            </w:r>
            <w:r w:rsidRPr="00293B1F">
              <w:rPr>
                <w:szCs w:val="20"/>
                <w:lang w:eastAsia="sv-SE"/>
              </w:rPr>
              <w:t>Some of the risks are related to c</w:t>
            </w:r>
            <w:r w:rsidR="00E86D1C">
              <w:rPr>
                <w:szCs w:val="20"/>
                <w:lang w:eastAsia="sv-SE"/>
              </w:rPr>
              <w:t>ircumstances beyond the Issuer's</w:t>
            </w:r>
            <w:r>
              <w:rPr>
                <w:rStyle w:val="FootnoteReference"/>
                <w:lang w:eastAsia="sv-SE"/>
              </w:rPr>
              <w:footnoteReference w:id="17"/>
            </w:r>
            <w:r w:rsidRPr="00293B1F">
              <w:rPr>
                <w:szCs w:val="20"/>
                <w:lang w:eastAsia="sv-SE"/>
              </w:rPr>
              <w:t xml:space="preserve"> control, such as the </w:t>
            </w:r>
            <w:r w:rsidRPr="00826A2A">
              <w:rPr>
                <w:bCs/>
                <w:iCs/>
              </w:rPr>
              <w:t>existence</w:t>
            </w:r>
            <w:r w:rsidRPr="00293B1F">
              <w:rPr>
                <w:szCs w:val="20"/>
                <w:lang w:eastAsia="sv-SE"/>
              </w:rPr>
              <w:t xml:space="preserve"> of an effective secondary market, the stability of the relevant clearing and settlement system, as well as the macro economic situation in the Nordic economies and the world at large.</w:t>
            </w:r>
          </w:p>
        </w:tc>
      </w:tr>
      <w:tr w:rsidTr="008D78E3">
        <w:tblPrEx>
          <w:tblW w:w="5000" w:type="pct"/>
          <w:tblLook w:val="0000"/>
        </w:tblPrEx>
        <w:tc>
          <w:tcPr>
            <w:tcW w:w="377" w:type="pct"/>
            <w:tcBorders>
              <w:top w:val="nil"/>
              <w:bottom w:val="nil"/>
            </w:tcBorders>
          </w:tcPr>
          <w:p w:rsidR="00BC0214" w:rsidRPr="00293B1F" w:rsidP="00F3587A">
            <w:pPr>
              <w:pStyle w:val="BodyText"/>
              <w:keepN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iCs/>
                <w:szCs w:val="20"/>
                <w:lang w:eastAsia="sv-SE"/>
              </w:rPr>
            </w:pPr>
            <w:r w:rsidRPr="00293B1F">
              <w:rPr>
                <w:b/>
                <w:i/>
                <w:szCs w:val="20"/>
              </w:rPr>
              <w:t>Complexity of the product</w:t>
            </w:r>
            <w:r w:rsidRPr="00293B1F">
              <w:rPr>
                <w:i/>
                <w:szCs w:val="20"/>
              </w:rPr>
              <w:t xml:space="preserve"> </w:t>
            </w:r>
            <w:r w:rsidRPr="00293B1F">
              <w:rPr>
                <w:szCs w:val="20"/>
              </w:rPr>
              <w:t xml:space="preserve">– The yield structure for the Instruments is sometimes complex and may contain mathematical formulae or relationships which, for an investor, </w:t>
            </w:r>
            <w:r w:rsidRPr="00826A2A">
              <w:rPr>
                <w:bCs/>
                <w:iCs/>
              </w:rPr>
              <w:t>may</w:t>
            </w:r>
            <w:r w:rsidRPr="00293B1F">
              <w:rPr>
                <w:szCs w:val="20"/>
              </w:rPr>
              <w:t xml:space="preserve"> be difficult to understand and compare with other investment alternatives. It should be noted that the relationship between yield and risk may be difficult to assess.</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735241">
            <w:pPr>
              <w:pStyle w:val="BodyText"/>
              <w:rPr>
                <w:iCs/>
                <w:szCs w:val="20"/>
                <w:lang w:eastAsia="sv-SE"/>
              </w:rPr>
            </w:pPr>
            <w:r w:rsidRPr="00293B1F">
              <w:rPr>
                <w:b/>
                <w:i/>
                <w:szCs w:val="20"/>
              </w:rPr>
              <w:t>Pricing of Instrument</w:t>
            </w:r>
            <w:r w:rsidRPr="00293B1F">
              <w:rPr>
                <w:b/>
                <w:i/>
                <w:iCs/>
                <w:szCs w:val="20"/>
              </w:rPr>
              <w:t>s</w:t>
            </w:r>
            <w:r w:rsidRPr="00293B1F">
              <w:rPr>
                <w:szCs w:val="20"/>
              </w:rPr>
              <w:t>–The pricing of Instruments is usually determined by the Issuer,</w:t>
            </w:r>
            <w:r w:rsidRPr="000B34C9" w:rsidR="000B34C9">
              <w:rPr>
                <w:szCs w:val="20"/>
                <w:vertAlign w:val="superscript"/>
              </w:rPr>
              <w:t>1</w:t>
            </w:r>
            <w:r w:rsidR="00735241">
              <w:rPr>
                <w:szCs w:val="20"/>
                <w:vertAlign w:val="superscript"/>
              </w:rPr>
              <w:t>6</w:t>
            </w:r>
            <w:r w:rsidRPr="00293B1F">
              <w:rPr>
                <w:szCs w:val="20"/>
              </w:rPr>
              <w:t xml:space="preserve"> and not on </w:t>
            </w:r>
            <w:r w:rsidRPr="00826A2A">
              <w:rPr>
                <w:bCs/>
                <w:iCs/>
              </w:rPr>
              <w:t>the</w:t>
            </w:r>
            <w:r w:rsidRPr="00293B1F">
              <w:rPr>
                <w:szCs w:val="20"/>
              </w:rPr>
              <w:t xml:space="preserve"> basis of negotiated terms. There may, therefore, be a conflict of interest between the Issuer</w:t>
            </w:r>
            <w:r w:rsidRPr="000B34C9" w:rsidR="000B34C9">
              <w:rPr>
                <w:szCs w:val="20"/>
                <w:vertAlign w:val="superscript"/>
              </w:rPr>
              <w:t>1</w:t>
            </w:r>
            <w:r w:rsidR="00735241">
              <w:rPr>
                <w:szCs w:val="20"/>
                <w:vertAlign w:val="superscript"/>
              </w:rPr>
              <w:t>6</w:t>
            </w:r>
            <w:r w:rsidRPr="00293B1F">
              <w:rPr>
                <w:szCs w:val="20"/>
              </w:rPr>
              <w:t xml:space="preserve"> and the investors inasmuch as the extent that the Issuer</w:t>
            </w:r>
            <w:r w:rsidRPr="000B34C9" w:rsidR="000B34C9">
              <w:rPr>
                <w:szCs w:val="20"/>
                <w:vertAlign w:val="superscript"/>
              </w:rPr>
              <w:t>1</w:t>
            </w:r>
            <w:r w:rsidR="0004104B">
              <w:rPr>
                <w:szCs w:val="20"/>
                <w:vertAlign w:val="superscript"/>
              </w:rPr>
              <w:t>9</w:t>
            </w:r>
            <w:r w:rsidRPr="00293B1F">
              <w:rPr>
                <w:szCs w:val="20"/>
              </w:rPr>
              <w:t xml:space="preserve"> can influence the pricing and attempt to generate a profit or avoid a loss in relation to the underlying assets. The Issuer</w:t>
            </w:r>
            <w:r w:rsidRPr="000B34C9" w:rsidR="000B34C9">
              <w:rPr>
                <w:szCs w:val="20"/>
                <w:vertAlign w:val="superscript"/>
              </w:rPr>
              <w:t>1</w:t>
            </w:r>
            <w:r w:rsidR="00735241">
              <w:rPr>
                <w:szCs w:val="20"/>
                <w:vertAlign w:val="superscript"/>
              </w:rPr>
              <w:t>6</w:t>
            </w:r>
            <w:r w:rsidRPr="00293B1F">
              <w:rPr>
                <w:szCs w:val="20"/>
              </w:rPr>
              <w:t xml:space="preserve"> is under no obligation to act in the interests of the holders.</w:t>
            </w:r>
          </w:p>
        </w:tc>
      </w:tr>
      <w:tr w:rsidTr="008D78E3">
        <w:tblPrEx>
          <w:tblW w:w="5000" w:type="pct"/>
          <w:tblLook w:val="0000"/>
        </w:tblPrEx>
        <w:tc>
          <w:tcPr>
            <w:tcW w:w="377" w:type="pct"/>
            <w:tcBorders>
              <w:top w:val="nil"/>
              <w:bottom w:val="single" w:sz="4" w:space="0" w:color="auto"/>
            </w:tcBorders>
          </w:tcPr>
          <w:p w:rsidR="00BC0214" w:rsidRPr="00293B1F" w:rsidP="00F3587A">
            <w:pPr>
              <w:pStyle w:val="BodyText"/>
              <w:rPr>
                <w:b/>
                <w:bCs/>
                <w:noProof/>
                <w:szCs w:val="20"/>
              </w:rPr>
            </w:pPr>
          </w:p>
        </w:tc>
        <w:tc>
          <w:tcPr>
            <w:tcW w:w="960" w:type="pct"/>
            <w:gridSpan w:val="2"/>
            <w:tcBorders>
              <w:top w:val="nil"/>
              <w:bottom w:val="single" w:sz="4" w:space="0" w:color="auto"/>
            </w:tcBorders>
          </w:tcPr>
          <w:p w:rsidR="00BC0214" w:rsidRPr="00293B1F" w:rsidP="00F3587A">
            <w:pPr>
              <w:pStyle w:val="BodyText"/>
              <w:keepNext/>
              <w:jc w:val="left"/>
              <w:rPr>
                <w:b/>
                <w:bCs/>
                <w:szCs w:val="20"/>
              </w:rPr>
            </w:pPr>
          </w:p>
        </w:tc>
        <w:tc>
          <w:tcPr>
            <w:tcW w:w="3663" w:type="pct"/>
            <w:tcBorders>
              <w:top w:val="nil"/>
              <w:bottom w:val="single" w:sz="4" w:space="0" w:color="auto"/>
            </w:tcBorders>
          </w:tcPr>
          <w:p w:rsidR="00BC0214" w:rsidRPr="00293B1F" w:rsidP="00F3587A">
            <w:pPr>
              <w:rPr>
                <w:rFonts w:cs="Times"/>
                <w:iCs/>
                <w:szCs w:val="20"/>
                <w:lang w:eastAsia="sv-SE"/>
              </w:rPr>
            </w:pPr>
            <w:r w:rsidRPr="00293B1F">
              <w:rPr>
                <w:b/>
                <w:i/>
                <w:szCs w:val="20"/>
              </w:rPr>
              <w:t>Performance of the underlying assets</w:t>
            </w:r>
            <w:r w:rsidRPr="00293B1F">
              <w:rPr>
                <w:i/>
                <w:szCs w:val="20"/>
              </w:rPr>
              <w:t xml:space="preserve"> </w:t>
            </w:r>
            <w:r w:rsidRPr="00293B1F">
              <w:rPr>
                <w:szCs w:val="20"/>
              </w:rPr>
              <w:t xml:space="preserve">– With Instruments, the holders are entitled to yield and payment of any applicable settlement amount, depending on the performance of one or more underlying assets and the applicable yield structure. The performance of the Instruments is affected by the value of the underlying assets at specific points in time during the term of the Instruments, the intensity of fluctuations in the prices of the underlying assets, expectations regarding future volatility, market interest rates, and expected dividends on the underlying assets.  In some circumstances the investor may lose all of their investment amount.  </w:t>
            </w:r>
          </w:p>
        </w:tc>
      </w:tr>
      <w:tr w:rsidTr="008D78E3">
        <w:tblPrEx>
          <w:tblW w:w="5000" w:type="pct"/>
          <w:tblLook w:val="0000"/>
        </w:tblPrEx>
        <w:trPr>
          <w:cantSplit/>
        </w:trPr>
        <w:tc>
          <w:tcPr>
            <w:tcW w:w="377" w:type="pct"/>
            <w:tcBorders>
              <w:top w:val="single" w:sz="4" w:space="0" w:color="auto"/>
              <w:bottom w:val="nil"/>
            </w:tcBorders>
          </w:tcPr>
          <w:p w:rsidR="00BC0214" w:rsidRPr="00293B1F" w:rsidP="00F3587A">
            <w:pPr>
              <w:pStyle w:val="BodyText"/>
              <w:rPr>
                <w:b/>
                <w:bCs/>
                <w:noProof/>
                <w:szCs w:val="20"/>
              </w:rPr>
            </w:pPr>
          </w:p>
        </w:tc>
        <w:tc>
          <w:tcPr>
            <w:tcW w:w="960" w:type="pct"/>
            <w:gridSpan w:val="2"/>
            <w:tcBorders>
              <w:top w:val="single" w:sz="4" w:space="0" w:color="auto"/>
              <w:bottom w:val="nil"/>
            </w:tcBorders>
          </w:tcPr>
          <w:p w:rsidR="00BC0214" w:rsidRPr="00293B1F" w:rsidP="00F3587A">
            <w:pPr>
              <w:pStyle w:val="BodyText"/>
              <w:keepNext/>
              <w:jc w:val="left"/>
              <w:rPr>
                <w:b/>
                <w:bCs/>
                <w:szCs w:val="20"/>
              </w:rPr>
            </w:pPr>
          </w:p>
        </w:tc>
        <w:tc>
          <w:tcPr>
            <w:tcW w:w="3663" w:type="pct"/>
            <w:tcBorders>
              <w:top w:val="single" w:sz="4" w:space="0" w:color="auto"/>
              <w:bottom w:val="nil"/>
            </w:tcBorders>
          </w:tcPr>
          <w:p w:rsidR="00BC0214" w:rsidRPr="00293B1F" w:rsidP="00826A2A">
            <w:pPr>
              <w:pStyle w:val="BodyText"/>
              <w:rPr>
                <w:iCs/>
                <w:szCs w:val="20"/>
                <w:lang w:eastAsia="sv-SE"/>
              </w:rPr>
            </w:pPr>
            <w:r w:rsidRPr="00293B1F">
              <w:rPr>
                <w:szCs w:val="20"/>
              </w:rPr>
              <w:t>[</w:t>
            </w:r>
            <w:r w:rsidRPr="00293B1F">
              <w:rPr>
                <w:b/>
                <w:i/>
                <w:szCs w:val="20"/>
              </w:rPr>
              <w:t>Currency fluctuations</w:t>
            </w:r>
            <w:r w:rsidRPr="00293B1F">
              <w:rPr>
                <w:szCs w:val="20"/>
              </w:rPr>
              <w:t xml:space="preserve">– In those cases where the underlying asset is listed in a currency other than investor's currency, exchange rate fluctuations may affect the yield on the Instruments. Exchange rates for foreign currencies may be affected by complex political and economic factors, including the relative rate of </w:t>
            </w:r>
            <w:r w:rsidRPr="00826A2A">
              <w:rPr>
                <w:bCs/>
                <w:iCs/>
              </w:rPr>
              <w:t>inflation</w:t>
            </w:r>
            <w:r w:rsidRPr="00293B1F">
              <w:rPr>
                <w:szCs w:val="20"/>
              </w:rPr>
              <w:t xml:space="preserve">, the balance of payments between countries, the size of the government budget surplus or deficit, and the monetary, tax and/or trade policies </w:t>
            </w:r>
            <w:r w:rsidRPr="00826A2A">
              <w:rPr>
                <w:bCs/>
                <w:iCs/>
              </w:rPr>
              <w:t>adopted</w:t>
            </w:r>
            <w:r w:rsidRPr="00293B1F">
              <w:rPr>
                <w:szCs w:val="20"/>
              </w:rPr>
              <w:t xml:space="preserve"> by the relevant currencies' governments. Currency fluctuations can affect the value or level of the underlying assets in complex ways. If such currency fluctuations cause the value or level of the underlying assets to vary, the value or level of the Instruments may fall. If the value or level of one or more underlying asset is issued in a currency other than the currency in which the Instrument is issued, investors may be exposed to an increased risk associated with foreign currency exchange rates. Previous exchange rates do not necessarily serve as indications of future exchange rates for foreign currencies.]</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rPr>
            </w:pPr>
            <w:r w:rsidRPr="00293B1F">
              <w:rPr>
                <w:szCs w:val="20"/>
              </w:rPr>
              <w:t>[</w:t>
            </w:r>
            <w:r w:rsidRPr="00293B1F">
              <w:rPr>
                <w:b/>
                <w:i/>
                <w:szCs w:val="20"/>
              </w:rPr>
              <w:t>Shares as underlying assets</w:t>
            </w:r>
            <w:r w:rsidRPr="00293B1F">
              <w:rPr>
                <w:i/>
                <w:szCs w:val="20"/>
              </w:rPr>
              <w:t xml:space="preserve"> </w:t>
            </w:r>
            <w:r w:rsidRPr="00293B1F">
              <w:rPr>
                <w:szCs w:val="20"/>
              </w:rPr>
              <w:t xml:space="preserve">–Share-linked instruments are not sponsored or promoted by the issuer of the shares. Accordingly, the issuer of the shares has no obligation to take into account the interests of investors in the Instruments and thus the actions of such share issuer might negatively affect the market value of the Instruments. </w:t>
            </w:r>
          </w:p>
        </w:tc>
      </w:tr>
      <w:tr w:rsidTr="008D78E3">
        <w:tblPrEx>
          <w:tblW w:w="5000" w:type="pct"/>
          <w:tblLook w:val="0000"/>
        </w:tblPrEx>
        <w:tc>
          <w:tcPr>
            <w:tcW w:w="377" w:type="pct"/>
            <w:tcBorders>
              <w:top w:val="nil"/>
              <w:bottom w:val="nil"/>
            </w:tcBorders>
          </w:tcPr>
          <w:p w:rsidR="00BC0214" w:rsidRPr="00293B1F" w:rsidP="00F3587A">
            <w:pPr>
              <w:pStyle w:val="BodyText"/>
              <w:keepN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rPr>
            </w:pPr>
            <w:r w:rsidRPr="00293B1F">
              <w:rPr>
                <w:szCs w:val="20"/>
              </w:rPr>
              <w:t xml:space="preserve">An investor in the Instruments is not entitled to receive any payments or other dividends to which a </w:t>
            </w:r>
            <w:r w:rsidRPr="00826A2A">
              <w:rPr>
                <w:bCs/>
                <w:iCs/>
              </w:rPr>
              <w:t>direct</w:t>
            </w:r>
            <w:r w:rsidRPr="00293B1F">
              <w:rPr>
                <w:szCs w:val="20"/>
              </w:rPr>
              <w:t xml:space="preserve"> owner of the underlying shares would otherwise be entitled.]</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iCs/>
                <w:szCs w:val="20"/>
                <w:lang w:eastAsia="sv-SE"/>
              </w:rPr>
            </w:pPr>
            <w:r w:rsidRPr="00293B1F">
              <w:rPr>
                <w:szCs w:val="20"/>
              </w:rPr>
              <w:t>[</w:t>
            </w:r>
            <w:r w:rsidRPr="00293B1F">
              <w:rPr>
                <w:b/>
                <w:i/>
                <w:szCs w:val="20"/>
              </w:rPr>
              <w:t>Indices as underlying assets</w:t>
            </w:r>
            <w:r w:rsidRPr="00293B1F">
              <w:rPr>
                <w:i/>
                <w:szCs w:val="20"/>
              </w:rPr>
              <w:t xml:space="preserve"> </w:t>
            </w:r>
            <w:r w:rsidRPr="00293B1F">
              <w:rPr>
                <w:szCs w:val="20"/>
              </w:rPr>
              <w:t>– Investors in instruments which are based on an index as underlying asset may, upon exercise of such Instruments, receive a lower payment than if he or she had invested directly in the shares/assets that comprise the Index. The sponsor of any index may add, remove, or replace components or make methodological changes which may affect the level of such index and hence the return which is to be paid to investors in the Instruments. The Nordea Group may also participate in creating, structuring and maintaining index portfolios or strategies and for which it may act as Index Sponsor (collectively, "</w:t>
            </w:r>
            <w:r w:rsidRPr="00293B1F">
              <w:rPr>
                <w:b/>
                <w:szCs w:val="20"/>
              </w:rPr>
              <w:t>Proprietary</w:t>
            </w:r>
            <w:r w:rsidRPr="00293B1F">
              <w:rPr>
                <w:szCs w:val="20"/>
              </w:rPr>
              <w:t xml:space="preserve"> </w:t>
            </w:r>
            <w:r w:rsidRPr="00293B1F">
              <w:rPr>
                <w:b/>
                <w:szCs w:val="20"/>
              </w:rPr>
              <w:t>Indices</w:t>
            </w:r>
            <w:r w:rsidR="00E86D1C">
              <w:rPr>
                <w:szCs w:val="20"/>
              </w:rPr>
              <w:t>"). The Issuer</w:t>
            </w:r>
            <w:r w:rsidRPr="00293B1F">
              <w:rPr>
                <w:szCs w:val="20"/>
              </w:rPr>
              <w:t xml:space="preserve"> may therefore face conflicts of interest between their obligations as the Issuer of such Instruments and their role (or the role of its affiliates) as the composers, promoters, designers or administrators of such indices.]</w:t>
            </w:r>
          </w:p>
        </w:tc>
      </w:tr>
      <w:tr w:rsidTr="008D78E3">
        <w:tblPrEx>
          <w:tblW w:w="5000" w:type="pct"/>
          <w:tblLook w:val="0000"/>
        </w:tblPrEx>
        <w:tc>
          <w:tcPr>
            <w:tcW w:w="377" w:type="pct"/>
            <w:tcBorders>
              <w:top w:val="nil"/>
              <w:bottom w:val="single" w:sz="4" w:space="0" w:color="auto"/>
            </w:tcBorders>
          </w:tcPr>
          <w:p w:rsidR="00BC0214" w:rsidRPr="00293B1F" w:rsidP="00F3587A">
            <w:pPr>
              <w:pStyle w:val="BodyText"/>
              <w:rPr>
                <w:b/>
                <w:bCs/>
                <w:noProof/>
                <w:szCs w:val="20"/>
              </w:rPr>
            </w:pPr>
          </w:p>
        </w:tc>
        <w:tc>
          <w:tcPr>
            <w:tcW w:w="960" w:type="pct"/>
            <w:gridSpan w:val="2"/>
            <w:tcBorders>
              <w:top w:val="nil"/>
              <w:bottom w:val="single" w:sz="4" w:space="0" w:color="auto"/>
            </w:tcBorders>
          </w:tcPr>
          <w:p w:rsidR="00BC0214" w:rsidRPr="00293B1F" w:rsidP="00F3587A">
            <w:pPr>
              <w:pStyle w:val="BodyText"/>
              <w:keepNext/>
              <w:jc w:val="left"/>
              <w:rPr>
                <w:b/>
                <w:bCs/>
                <w:szCs w:val="20"/>
              </w:rPr>
            </w:pPr>
          </w:p>
        </w:tc>
        <w:tc>
          <w:tcPr>
            <w:tcW w:w="3663" w:type="pct"/>
            <w:tcBorders>
              <w:top w:val="nil"/>
              <w:bottom w:val="single" w:sz="4" w:space="0" w:color="auto"/>
            </w:tcBorders>
          </w:tcPr>
          <w:p w:rsidR="00BC0214" w:rsidRPr="00293B1F" w:rsidP="00826A2A">
            <w:pPr>
              <w:pStyle w:val="BodyText"/>
              <w:rPr>
                <w:iCs/>
                <w:szCs w:val="20"/>
                <w:lang w:eastAsia="sv-SE"/>
              </w:rPr>
            </w:pPr>
            <w:r w:rsidRPr="00293B1F">
              <w:rPr>
                <w:szCs w:val="20"/>
              </w:rPr>
              <w:t>[</w:t>
            </w:r>
            <w:r w:rsidRPr="00293B1F">
              <w:rPr>
                <w:b/>
                <w:i/>
                <w:szCs w:val="20"/>
              </w:rPr>
              <w:t>Commodities as underlying assets</w:t>
            </w:r>
            <w:r w:rsidRPr="00293B1F">
              <w:rPr>
                <w:i/>
                <w:szCs w:val="20"/>
              </w:rPr>
              <w:t xml:space="preserve"> </w:t>
            </w:r>
            <w:r w:rsidRPr="00293B1F">
              <w:rPr>
                <w:szCs w:val="20"/>
              </w:rPr>
              <w:t xml:space="preserve">– Trading in commodities is speculative and may be extremely volatile as commodity prices are affected by factors that are unpredictable, such as changes in the relationship between supply and demand, weather patterns and government policies. Commodity contracts may also be traded directly between market participants over-the-counter on trading facilities </w:t>
            </w:r>
            <w:r w:rsidRPr="00826A2A">
              <w:rPr>
                <w:bCs/>
                <w:iCs/>
              </w:rPr>
              <w:t>which</w:t>
            </w:r>
            <w:r w:rsidRPr="00293B1F">
              <w:rPr>
                <w:szCs w:val="20"/>
              </w:rPr>
              <w:t xml:space="preserve"> are subject to minimal or no substantive regulation. </w:t>
            </w:r>
            <w:r w:rsidRPr="00293B1F">
              <w:rPr>
                <w:szCs w:val="20"/>
                <w:lang w:eastAsia="sv-SE"/>
              </w:rPr>
              <w:t>This increases the risks relating to the liquidity and price histories of the relevant contracts. Instruments that are linked to commodity future contracts may provide a different return than Instruments linked to the relevant physical commodity, as the price of a futures contract on a commodity will generally be at a premium or at a discount compared with the spot price of the underlying commodity</w:t>
            </w:r>
            <w:r w:rsidRPr="00293B1F">
              <w:rPr>
                <w:szCs w:val="20"/>
              </w:rPr>
              <w:t>.]</w:t>
            </w:r>
          </w:p>
        </w:tc>
      </w:tr>
      <w:tr w:rsidTr="008D78E3">
        <w:tblPrEx>
          <w:tblW w:w="5000" w:type="pct"/>
          <w:tblLook w:val="0000"/>
        </w:tblPrEx>
        <w:trPr>
          <w:cantSplit/>
        </w:trPr>
        <w:tc>
          <w:tcPr>
            <w:tcW w:w="377" w:type="pct"/>
            <w:tcBorders>
              <w:top w:val="single" w:sz="4" w:space="0" w:color="auto"/>
              <w:bottom w:val="nil"/>
            </w:tcBorders>
          </w:tcPr>
          <w:p w:rsidR="00BC0214" w:rsidRPr="00293B1F" w:rsidP="00F3587A">
            <w:pPr>
              <w:pStyle w:val="BodyText"/>
              <w:rPr>
                <w:b/>
                <w:bCs/>
                <w:noProof/>
                <w:szCs w:val="20"/>
              </w:rPr>
            </w:pPr>
          </w:p>
        </w:tc>
        <w:tc>
          <w:tcPr>
            <w:tcW w:w="960" w:type="pct"/>
            <w:gridSpan w:val="2"/>
            <w:tcBorders>
              <w:top w:val="single" w:sz="4" w:space="0" w:color="auto"/>
              <w:bottom w:val="nil"/>
            </w:tcBorders>
          </w:tcPr>
          <w:p w:rsidR="00BC0214" w:rsidRPr="00293B1F" w:rsidP="00F3587A">
            <w:pPr>
              <w:pStyle w:val="BodyText"/>
              <w:keepNext/>
              <w:jc w:val="left"/>
              <w:rPr>
                <w:b/>
                <w:bCs/>
                <w:szCs w:val="20"/>
              </w:rPr>
            </w:pPr>
          </w:p>
        </w:tc>
        <w:tc>
          <w:tcPr>
            <w:tcW w:w="3663" w:type="pct"/>
            <w:tcBorders>
              <w:top w:val="single" w:sz="4" w:space="0" w:color="auto"/>
              <w:bottom w:val="nil"/>
            </w:tcBorders>
          </w:tcPr>
          <w:p w:rsidR="00BC0214" w:rsidRPr="00293B1F" w:rsidP="00826A2A">
            <w:pPr>
              <w:pStyle w:val="BodyText"/>
              <w:rPr>
                <w:iCs/>
                <w:szCs w:val="20"/>
                <w:lang w:eastAsia="sv-SE"/>
              </w:rPr>
            </w:pPr>
            <w:r w:rsidRPr="00293B1F">
              <w:rPr>
                <w:szCs w:val="20"/>
              </w:rPr>
              <w:t>[</w:t>
            </w:r>
            <w:r w:rsidRPr="00293B1F">
              <w:rPr>
                <w:b/>
                <w:i/>
                <w:iCs/>
                <w:szCs w:val="20"/>
                <w:lang w:eastAsia="sv-SE"/>
              </w:rPr>
              <w:t>Exposure to a basket of underlying assets</w:t>
            </w:r>
            <w:r w:rsidRPr="00293B1F">
              <w:rPr>
                <w:szCs w:val="20"/>
                <w:lang w:eastAsia="sv-SE"/>
              </w:rPr>
              <w:t xml:space="preserve">– where the underlying asset for an Instrument comprises a basket of underlying assets, the investors bear the risk with respect to the performance of each of the basket constituents. Where there is a high level of interdependence between the individual basket constituents, any </w:t>
            </w:r>
            <w:r w:rsidRPr="00826A2A">
              <w:rPr>
                <w:bCs/>
                <w:iCs/>
              </w:rPr>
              <w:t>change</w:t>
            </w:r>
            <w:r w:rsidRPr="00293B1F">
              <w:rPr>
                <w:szCs w:val="20"/>
                <w:lang w:eastAsia="sv-SE"/>
              </w:rPr>
              <w:t xml:space="preserve"> in the performance of the basket constituents will exaggerate the performance of the Instruments. Moreover, a small basket or an </w:t>
            </w:r>
            <w:r w:rsidRPr="00826A2A">
              <w:rPr>
                <w:bCs/>
                <w:iCs/>
              </w:rPr>
              <w:t>unequally</w:t>
            </w:r>
            <w:r w:rsidRPr="00293B1F">
              <w:rPr>
                <w:szCs w:val="20"/>
                <w:lang w:eastAsia="sv-SE"/>
              </w:rPr>
              <w:t xml:space="preserve"> weighted basket will generally leave the basket more vulnerable to changes in the value of any particular basket constituent.</w:t>
            </w:r>
            <w:r w:rsidRPr="00293B1F">
              <w:rPr>
                <w:szCs w:val="20"/>
              </w:rPr>
              <w:t>]</w:t>
            </w:r>
          </w:p>
        </w:tc>
      </w:tr>
      <w:tr w:rsidTr="008D78E3">
        <w:tblPrEx>
          <w:tblW w:w="5000" w:type="pct"/>
          <w:tblLook w:val="0000"/>
        </w:tblPrEx>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rPr>
            </w:pPr>
            <w:r w:rsidRPr="00293B1F">
              <w:rPr>
                <w:szCs w:val="20"/>
              </w:rPr>
              <w:t>[</w:t>
            </w:r>
            <w:r w:rsidRPr="00293B1F">
              <w:rPr>
                <w:b/>
                <w:i/>
                <w:iCs/>
                <w:szCs w:val="20"/>
                <w:lang w:eastAsia="sv-SE"/>
              </w:rPr>
              <w:t>Automatic early redemption</w:t>
            </w:r>
            <w:r w:rsidRPr="00293B1F">
              <w:rPr>
                <w:i/>
                <w:iCs/>
                <w:szCs w:val="20"/>
                <w:lang w:eastAsia="sv-SE"/>
              </w:rPr>
              <w:t xml:space="preserve"> </w:t>
            </w:r>
            <w:r w:rsidRPr="00293B1F">
              <w:rPr>
                <w:szCs w:val="20"/>
                <w:lang w:eastAsia="sv-SE"/>
              </w:rPr>
              <w:t xml:space="preserve">– Certain types of Instruments may be redeemed automatically prior to </w:t>
            </w:r>
            <w:r w:rsidRPr="00826A2A">
              <w:rPr>
                <w:bCs/>
                <w:iCs/>
              </w:rPr>
              <w:t>their</w:t>
            </w:r>
            <w:r w:rsidRPr="00293B1F">
              <w:rPr>
                <w:szCs w:val="20"/>
                <w:lang w:eastAsia="sv-SE"/>
              </w:rPr>
              <w:t xml:space="preserve"> scheduled maturity date if certain conditions are met. In some circumstances, this may result in a loss of part, or all, an investor's investment</w:t>
            </w:r>
            <w:r w:rsidRPr="00293B1F">
              <w:rPr>
                <w:szCs w:val="20"/>
              </w:rPr>
              <w:t>.]</w:t>
            </w:r>
          </w:p>
        </w:tc>
      </w:tr>
      <w:tr w:rsidTr="008D78E3">
        <w:tblPrEx>
          <w:tblW w:w="5000" w:type="pct"/>
          <w:tblLook w:val="0000"/>
        </w:tblPrEx>
        <w:trPr>
          <w:cantSplit/>
        </w:trPr>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lang w:eastAsia="sv-SE"/>
              </w:rPr>
            </w:pPr>
            <w:r w:rsidRPr="00293B1F">
              <w:rPr>
                <w:szCs w:val="20"/>
              </w:rPr>
              <w:t>[</w:t>
            </w:r>
            <w:r w:rsidRPr="00293B1F">
              <w:rPr>
                <w:b/>
                <w:i/>
                <w:szCs w:val="20"/>
                <w:lang w:eastAsia="sv-SE"/>
              </w:rPr>
              <w:t>Warrants, Turbo Warrants, Market Warrants and MINI Futures</w:t>
            </w:r>
            <w:r w:rsidRPr="00293B1F">
              <w:rPr>
                <w:i/>
                <w:szCs w:val="20"/>
                <w:lang w:eastAsia="sv-SE"/>
              </w:rPr>
              <w:t xml:space="preserve"> </w:t>
            </w:r>
            <w:r w:rsidRPr="00293B1F">
              <w:rPr>
                <w:szCs w:val="20"/>
                <w:lang w:eastAsia="sv-SE"/>
              </w:rPr>
              <w:t xml:space="preserve">– Due to the structure of certain Instruments, the performance of the underlying asset will affect the price of the Instrument and may lead to larger profits or losses on invested capital than if the </w:t>
            </w:r>
            <w:r w:rsidRPr="00826A2A">
              <w:rPr>
                <w:bCs/>
                <w:iCs/>
              </w:rPr>
              <w:t>investment</w:t>
            </w:r>
            <w:r w:rsidRPr="00293B1F">
              <w:rPr>
                <w:szCs w:val="20"/>
                <w:lang w:eastAsia="sv-SE"/>
              </w:rPr>
              <w:t xml:space="preserve"> had been made directly in the underlying asset. This is normally expressed by saying that the Instruments have a leverage effect compared with an investment in the underlying asset, i.e. a change in price (both upwards and downwards) of the underlying asset results, in percentage terms, in a greater change in the value of the Instruments. Consequently, the risk associated with an investment in such Instruments is greater than with an investment in the underlying asset. Such Instruments may become worthless.</w:t>
            </w:r>
          </w:p>
        </w:tc>
      </w:tr>
      <w:tr w:rsidTr="008D78E3">
        <w:tblPrEx>
          <w:tblW w:w="5000" w:type="pct"/>
          <w:tblLook w:val="0000"/>
        </w:tblPrEx>
        <w:tc>
          <w:tcPr>
            <w:tcW w:w="377" w:type="pct"/>
            <w:tcBorders>
              <w:top w:val="nil"/>
              <w:bottom w:val="nil"/>
            </w:tcBorders>
          </w:tcPr>
          <w:p w:rsidR="00BC0214" w:rsidRPr="00293B1F" w:rsidP="00F3587A">
            <w:pPr>
              <w:pStyle w:val="BodyText"/>
              <w:keepN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rPr>
            </w:pPr>
            <w:r w:rsidRPr="00293B1F">
              <w:rPr>
                <w:szCs w:val="20"/>
                <w:lang w:eastAsia="sv-SE"/>
              </w:rPr>
              <w:t xml:space="preserve">Warrants and Market Warrants may also include performance structures that are more complex and correspond to those applicable to Certificates. Thus, the risks relating to Certificates </w:t>
            </w:r>
            <w:r w:rsidRPr="00826A2A">
              <w:rPr>
                <w:bCs/>
                <w:iCs/>
              </w:rPr>
              <w:t>as</w:t>
            </w:r>
            <w:r w:rsidRPr="00293B1F">
              <w:rPr>
                <w:szCs w:val="20"/>
                <w:lang w:eastAsia="sv-SE"/>
              </w:rPr>
              <w:t xml:space="preserve"> set forth below may also be applicable to Warrants and Market Warrants.]</w:t>
            </w:r>
          </w:p>
        </w:tc>
      </w:tr>
      <w:tr w:rsidTr="000B34C9">
        <w:tblPrEx>
          <w:tblW w:w="5000" w:type="pct"/>
          <w:tblLook w:val="0000"/>
        </w:tblPrEx>
        <w:tc>
          <w:tcPr>
            <w:tcW w:w="377" w:type="pct"/>
            <w:tcBorders>
              <w:top w:val="nil"/>
              <w:bottom w:val="nil"/>
            </w:tcBorders>
          </w:tcPr>
          <w:p w:rsidR="00BC0214" w:rsidRPr="00293B1F" w:rsidP="00F3587A">
            <w:pPr>
              <w:pStyle w:val="BodyText"/>
              <w:rPr>
                <w:b/>
                <w:bCs/>
                <w:noProof/>
                <w:szCs w:val="20"/>
              </w:rPr>
            </w:pPr>
          </w:p>
        </w:tc>
        <w:tc>
          <w:tcPr>
            <w:tcW w:w="960" w:type="pct"/>
            <w:gridSpan w:val="2"/>
            <w:tcBorders>
              <w:top w:val="nil"/>
              <w:bottom w:val="nil"/>
            </w:tcBorders>
          </w:tcPr>
          <w:p w:rsidR="00BC0214" w:rsidRPr="00293B1F" w:rsidP="00F3587A">
            <w:pPr>
              <w:pStyle w:val="BodyText"/>
              <w:keepNext/>
              <w:jc w:val="left"/>
              <w:rPr>
                <w:b/>
                <w:bCs/>
                <w:szCs w:val="20"/>
              </w:rPr>
            </w:pPr>
          </w:p>
        </w:tc>
        <w:tc>
          <w:tcPr>
            <w:tcW w:w="3663" w:type="pct"/>
            <w:tcBorders>
              <w:top w:val="nil"/>
              <w:bottom w:val="nil"/>
            </w:tcBorders>
          </w:tcPr>
          <w:p w:rsidR="00BC0214" w:rsidRPr="00293B1F" w:rsidP="00826A2A">
            <w:pPr>
              <w:pStyle w:val="BodyText"/>
              <w:rPr>
                <w:szCs w:val="20"/>
              </w:rPr>
            </w:pPr>
            <w:r w:rsidRPr="00293B1F">
              <w:rPr>
                <w:b/>
                <w:bCs/>
                <w:i/>
                <w:iCs/>
                <w:szCs w:val="20"/>
                <w:lang w:eastAsia="sv-SE"/>
              </w:rPr>
              <w:t>[Risks associated with Certificates</w:t>
            </w:r>
            <w:r w:rsidRPr="00293B1F">
              <w:rPr>
                <w:b/>
                <w:i/>
                <w:iCs/>
                <w:szCs w:val="20"/>
                <w:lang w:eastAsia="sv-SE"/>
              </w:rPr>
              <w:t xml:space="preserve"> </w:t>
            </w:r>
            <w:r w:rsidRPr="00293B1F">
              <w:rPr>
                <w:szCs w:val="20"/>
                <w:lang w:eastAsia="sv-SE"/>
              </w:rPr>
              <w:t xml:space="preserve">– If the underlying asset becomes worthless (for example, because the company which issued the underlying share has gone into bankruptcy), the Certificate will also become worthless. The value of a Certificate may also be affected by changes in exchange rates, if the underlying asset is denominated in a currency other than the Certificate's denomination currency. An investor in a Certificate should note that the entire sum invested may be </w:t>
            </w:r>
            <w:r w:rsidRPr="00826A2A">
              <w:rPr>
                <w:bCs/>
                <w:iCs/>
              </w:rPr>
              <w:t>lost</w:t>
            </w:r>
            <w:r w:rsidRPr="00293B1F">
              <w:rPr>
                <w:szCs w:val="20"/>
                <w:lang w:eastAsia="sv-SE"/>
              </w:rPr>
              <w:t>. Where the Certificate is structured in order to generate a return in a bear market (i.e. to sell or "short" the Underlying Asset), an increase in value of the underlying asset will result in a decrease in the value of the Certificate. During the term, the value of a Certificate is affected by changes in volatility, performance and dividends on the underlying asset as well as changes in market interest rates. If the Certificate has one or several barrier levels, this can mean that the amount that an investor is entitled to receive on redemption will be less than the invested amount or that the right to any specific return lapses.]</w:t>
            </w:r>
          </w:p>
        </w:tc>
      </w:tr>
      <w:tr w:rsidTr="000B34C9">
        <w:tblPrEx>
          <w:tblW w:w="5000" w:type="pct"/>
          <w:tblLook w:val="0000"/>
        </w:tblPrEx>
        <w:tc>
          <w:tcPr>
            <w:tcW w:w="377" w:type="pct"/>
            <w:tcBorders>
              <w:top w:val="nil"/>
              <w:bottom w:val="single" w:sz="4" w:space="0" w:color="auto"/>
            </w:tcBorders>
          </w:tcPr>
          <w:p w:rsidR="00BC0214" w:rsidRPr="00293B1F" w:rsidP="00F3587A">
            <w:pPr>
              <w:pStyle w:val="BodyText"/>
              <w:rPr>
                <w:b/>
                <w:bCs/>
                <w:noProof/>
                <w:szCs w:val="20"/>
              </w:rPr>
            </w:pPr>
          </w:p>
        </w:tc>
        <w:tc>
          <w:tcPr>
            <w:tcW w:w="960" w:type="pct"/>
            <w:gridSpan w:val="2"/>
            <w:tcBorders>
              <w:top w:val="nil"/>
              <w:bottom w:val="single" w:sz="4" w:space="0" w:color="auto"/>
            </w:tcBorders>
          </w:tcPr>
          <w:p w:rsidR="00BC0214" w:rsidRPr="00293B1F" w:rsidP="00F3587A">
            <w:pPr>
              <w:pStyle w:val="BodyText"/>
              <w:keepNext/>
              <w:jc w:val="left"/>
              <w:rPr>
                <w:b/>
                <w:bCs/>
                <w:szCs w:val="20"/>
              </w:rPr>
            </w:pPr>
          </w:p>
        </w:tc>
        <w:tc>
          <w:tcPr>
            <w:tcW w:w="3663" w:type="pct"/>
            <w:tcBorders>
              <w:top w:val="nil"/>
              <w:bottom w:val="single" w:sz="4" w:space="0" w:color="auto"/>
            </w:tcBorders>
          </w:tcPr>
          <w:p w:rsidR="00BC0214" w:rsidRPr="00293B1F" w:rsidP="00E86D1C">
            <w:pPr>
              <w:pStyle w:val="BodyText"/>
              <w:rPr>
                <w:szCs w:val="20"/>
                <w:lang w:eastAsia="sv-SE"/>
              </w:rPr>
            </w:pPr>
            <w:r w:rsidRPr="00293B1F">
              <w:rPr>
                <w:szCs w:val="20"/>
                <w:lang w:eastAsia="sv-SE"/>
              </w:rPr>
              <w:t xml:space="preserve">Other risks associated with Instruments may relate, </w:t>
            </w:r>
            <w:r w:rsidRPr="00293B1F">
              <w:rPr>
                <w:i/>
                <w:iCs/>
                <w:szCs w:val="20"/>
                <w:lang w:eastAsia="sv-SE"/>
              </w:rPr>
              <w:t>inter alia</w:t>
            </w:r>
            <w:r w:rsidRPr="00293B1F">
              <w:rPr>
                <w:szCs w:val="20"/>
                <w:lang w:eastAsia="sv-SE"/>
              </w:rPr>
              <w:t xml:space="preserve">, to changes in interest rates, changes in exchange rates, whether the Issuer is entitled to redeem the Instruments prematurely, the complexity of the financial instruments, fluctuations in relevant </w:t>
            </w:r>
            <w:r w:rsidRPr="00826A2A">
              <w:rPr>
                <w:bCs/>
                <w:iCs/>
              </w:rPr>
              <w:t>indices</w:t>
            </w:r>
            <w:r w:rsidRPr="00293B1F">
              <w:rPr>
                <w:szCs w:val="20"/>
                <w:lang w:eastAsia="sv-SE"/>
              </w:rPr>
              <w:t>, other underlying assets or the financial market, and whether repayment is dependent on circumstances other than the credit-worthiness of the Issuer.</w:t>
            </w:r>
            <w:r>
              <w:rPr>
                <w:rStyle w:val="FootnoteReference"/>
                <w:lang w:eastAsia="sv-SE"/>
              </w:rPr>
              <w:footnoteReference w:id="18"/>
            </w:r>
            <w:r w:rsidRPr="00293B1F">
              <w:rPr>
                <w:szCs w:val="20"/>
                <w:lang w:eastAsia="sv-SE"/>
              </w:rPr>
              <w:t xml:space="preserve"> </w:t>
            </w:r>
          </w:p>
        </w:tc>
      </w:tr>
      <w:tr w:rsidTr="000B34C9">
        <w:tblPrEx>
          <w:tblW w:w="5000" w:type="pct"/>
          <w:tblLook w:val="0000"/>
        </w:tblPrEx>
        <w:tc>
          <w:tcPr>
            <w:tcW w:w="377" w:type="pct"/>
            <w:tcBorders>
              <w:top w:val="single" w:sz="4" w:space="0" w:color="auto"/>
            </w:tcBorders>
          </w:tcPr>
          <w:p w:rsidR="00BC0214" w:rsidRPr="00293B1F" w:rsidP="00F3587A">
            <w:pPr>
              <w:pStyle w:val="BodyText"/>
              <w:keepNext/>
              <w:rPr>
                <w:b/>
                <w:bCs/>
                <w:noProof/>
              </w:rPr>
            </w:pPr>
          </w:p>
        </w:tc>
        <w:tc>
          <w:tcPr>
            <w:tcW w:w="960" w:type="pct"/>
            <w:gridSpan w:val="2"/>
            <w:tcBorders>
              <w:top w:val="single" w:sz="4" w:space="0" w:color="auto"/>
            </w:tcBorders>
          </w:tcPr>
          <w:p w:rsidR="00BC0214" w:rsidRPr="00293B1F" w:rsidP="00F3587A">
            <w:pPr>
              <w:pStyle w:val="BodyText"/>
              <w:keepNext/>
              <w:jc w:val="left"/>
              <w:rPr>
                <w:b/>
                <w:bCs/>
              </w:rPr>
            </w:pPr>
          </w:p>
        </w:tc>
        <w:tc>
          <w:tcPr>
            <w:tcW w:w="3663" w:type="pct"/>
            <w:tcBorders>
              <w:top w:val="single" w:sz="4" w:space="0" w:color="auto"/>
            </w:tcBorders>
          </w:tcPr>
          <w:p w:rsidR="00BC0214" w:rsidRPr="00293B1F" w:rsidP="00826A2A">
            <w:pPr>
              <w:pStyle w:val="BodyText"/>
            </w:pPr>
            <w:r w:rsidRPr="00293B1F">
              <w:t xml:space="preserve">An investment in relatively complex securities such as the Instruments involves a greater degree of risk than investing in less complex securities.  In particular, in some cases, investors </w:t>
            </w:r>
            <w:r w:rsidRPr="00826A2A">
              <w:rPr>
                <w:bCs/>
                <w:iCs/>
              </w:rPr>
              <w:t>may</w:t>
            </w:r>
            <w:r w:rsidRPr="00293B1F">
              <w:t xml:space="preserve"> stand to lose the value of their entire investment or part of it, as the case may be.  </w:t>
            </w:r>
          </w:p>
        </w:tc>
      </w:tr>
      <w:tr w:rsidTr="008D78E3">
        <w:tblPrEx>
          <w:tblW w:w="5000" w:type="pct"/>
          <w:tblBorders>
            <w:top w:val="nil"/>
            <w:left w:val="nil"/>
            <w:bottom w:val="nil"/>
            <w:right w:val="nil"/>
            <w:insideH w:val="nil"/>
            <w:insideV w:val="nil"/>
          </w:tblBorders>
          <w:tblLook w:val="0000"/>
        </w:tblPrEx>
        <w:trPr>
          <w:tblHeader/>
        </w:trPr>
        <w:tc>
          <w:tcPr>
            <w:tcW w:w="37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Next/>
              <w:keepLines/>
              <w:pageBreakBefore/>
              <w:widowControl w:val="0"/>
              <w:jc w:val="center"/>
              <w:rPr>
                <w:b/>
                <w:bCs/>
              </w:rPr>
            </w:pPr>
          </w:p>
        </w:tc>
        <w:tc>
          <w:tcPr>
            <w:tcW w:w="4623" w:type="pct"/>
            <w:gridSpan w:val="3"/>
            <w:tcBorders>
              <w:top w:val="single" w:sz="4" w:space="0" w:color="auto"/>
              <w:left w:val="single" w:sz="4" w:space="0" w:color="auto"/>
              <w:bottom w:val="single" w:sz="4" w:space="0" w:color="auto"/>
              <w:right w:val="single" w:sz="4" w:space="0" w:color="auto"/>
            </w:tcBorders>
          </w:tcPr>
          <w:p w:rsidR="00BC0214" w:rsidRPr="00293B1F" w:rsidP="000B34C9">
            <w:pPr>
              <w:pStyle w:val="BodyText"/>
              <w:keepNext/>
              <w:keepLines/>
              <w:widowControl w:val="0"/>
              <w:jc w:val="center"/>
              <w:rPr>
                <w:b/>
                <w:bCs/>
              </w:rPr>
            </w:pPr>
            <w:r w:rsidRPr="00293B1F">
              <w:rPr>
                <w:b/>
                <w:bCs/>
              </w:rPr>
              <w:t>Section E - Offer</w:t>
            </w:r>
          </w:p>
        </w:tc>
      </w:tr>
      <w:tr w:rsidTr="008D78E3">
        <w:tblPrEx>
          <w:tblW w:w="5000" w:type="pct"/>
          <w:tblBorders>
            <w:top w:val="nil"/>
            <w:left w:val="nil"/>
            <w:bottom w:val="nil"/>
            <w:right w:val="nil"/>
            <w:insideH w:val="nil"/>
            <w:insideV w:val="nil"/>
          </w:tblBorders>
          <w:tblLook w:val="0000"/>
        </w:tblPrEx>
        <w:tc>
          <w:tcPr>
            <w:tcW w:w="37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Lines/>
              <w:widowControl w:val="0"/>
              <w:rPr>
                <w:b/>
                <w:bCs/>
              </w:rPr>
            </w:pPr>
            <w:r w:rsidRPr="00293B1F">
              <w:rPr>
                <w:b/>
                <w:bCs/>
              </w:rPr>
              <w:t>E.2b</w:t>
            </w:r>
          </w:p>
        </w:tc>
        <w:tc>
          <w:tcPr>
            <w:tcW w:w="955"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Next/>
              <w:keepLines/>
              <w:widowControl w:val="0"/>
              <w:jc w:val="left"/>
              <w:rPr>
                <w:b/>
                <w:bCs/>
              </w:rPr>
            </w:pPr>
            <w:r w:rsidRPr="00293B1F">
              <w:rPr>
                <w:b/>
                <w:bCs/>
              </w:rPr>
              <w:t>Reasons for the Offer and Use of Proceeds:</w:t>
            </w:r>
          </w:p>
        </w:tc>
        <w:tc>
          <w:tcPr>
            <w:tcW w:w="3668" w:type="pct"/>
            <w:gridSpan w:val="2"/>
            <w:tcBorders>
              <w:top w:val="single" w:sz="4" w:space="0" w:color="auto"/>
              <w:left w:val="single" w:sz="4" w:space="0" w:color="auto"/>
              <w:bottom w:val="single" w:sz="4" w:space="0" w:color="auto"/>
              <w:right w:val="single" w:sz="4" w:space="0" w:color="auto"/>
            </w:tcBorders>
          </w:tcPr>
          <w:p w:rsidR="00BC0214" w:rsidRPr="00293B1F" w:rsidP="00826A2A">
            <w:pPr>
              <w:pStyle w:val="BodyText"/>
            </w:pPr>
            <w:r w:rsidRPr="00293B1F">
              <w:t>The Instruments are offered in order to provide the Issuer</w:t>
            </w:r>
            <w:r w:rsidR="00E86D1C">
              <w:t>'</w:t>
            </w:r>
            <w:r w:rsidRPr="00293B1F">
              <w:t xml:space="preserve">s </w:t>
            </w:r>
            <w:r>
              <w:rPr>
                <w:rStyle w:val="FootnoteReference"/>
                <w:bCs/>
              </w:rPr>
              <w:footnoteReference w:id="19"/>
            </w:r>
            <w:r w:rsidRPr="00293B1F">
              <w:t xml:space="preserve">customers with investment products.  Unless </w:t>
            </w:r>
            <w:r w:rsidRPr="00826A2A">
              <w:rPr>
                <w:bCs/>
                <w:iCs/>
              </w:rPr>
              <w:t>otherwise</w:t>
            </w:r>
            <w:r w:rsidRPr="00293B1F">
              <w:t xml:space="preserve"> specified, the net proceeds of any issue of Instruments will be used for the general banking and other corporate purposes of the Issuer and the Nordea Group.</w:t>
            </w:r>
          </w:p>
          <w:p w:rsidR="00BC0214" w:rsidRPr="00293B1F" w:rsidP="00826A2A">
            <w:pPr>
              <w:pStyle w:val="BodyText"/>
              <w:rPr>
                <w:i/>
                <w:iCs/>
              </w:rPr>
            </w:pPr>
            <w:r w:rsidRPr="00293B1F">
              <w:rPr>
                <w:i/>
                <w:iCs/>
              </w:rPr>
              <w:t>[The net proceeds of the issue will be used for: [•]]</w:t>
            </w:r>
          </w:p>
        </w:tc>
      </w:tr>
      <w:tr w:rsidTr="008D78E3">
        <w:tblPrEx>
          <w:tblW w:w="5000" w:type="pct"/>
          <w:tblBorders>
            <w:top w:val="nil"/>
            <w:left w:val="nil"/>
            <w:bottom w:val="nil"/>
            <w:right w:val="nil"/>
            <w:insideH w:val="nil"/>
            <w:insideV w:val="nil"/>
          </w:tblBorders>
          <w:tblLook w:val="0000"/>
        </w:tblPrEx>
        <w:tc>
          <w:tcPr>
            <w:tcW w:w="377" w:type="pct"/>
            <w:tcBorders>
              <w:top w:val="single" w:sz="4" w:space="0" w:color="auto"/>
              <w:left w:val="single" w:sz="4" w:space="0" w:color="auto"/>
              <w:right w:val="single" w:sz="4" w:space="0" w:color="auto"/>
            </w:tcBorders>
          </w:tcPr>
          <w:p w:rsidR="00BC0214" w:rsidRPr="00293B1F" w:rsidP="00F3587A">
            <w:pPr>
              <w:pStyle w:val="BodyText"/>
              <w:keepNext/>
              <w:widowControl w:val="0"/>
              <w:spacing w:after="100"/>
              <w:rPr>
                <w:b/>
                <w:bCs/>
              </w:rPr>
            </w:pPr>
            <w:r w:rsidRPr="00293B1F">
              <w:rPr>
                <w:b/>
                <w:bCs/>
              </w:rPr>
              <w:t>E.3</w:t>
            </w:r>
          </w:p>
        </w:tc>
        <w:tc>
          <w:tcPr>
            <w:tcW w:w="955" w:type="pct"/>
            <w:tcBorders>
              <w:top w:val="single" w:sz="4" w:space="0" w:color="auto"/>
              <w:left w:val="single" w:sz="4" w:space="0" w:color="auto"/>
              <w:right w:val="single" w:sz="4" w:space="0" w:color="auto"/>
            </w:tcBorders>
          </w:tcPr>
          <w:p w:rsidR="00BC0214" w:rsidRPr="00293B1F" w:rsidP="00F3587A">
            <w:pPr>
              <w:pStyle w:val="BodyText"/>
              <w:keepNext/>
              <w:keepLines/>
              <w:widowControl w:val="0"/>
              <w:spacing w:after="100"/>
              <w:jc w:val="left"/>
              <w:rPr>
                <w:b/>
                <w:bCs/>
              </w:rPr>
            </w:pPr>
            <w:r w:rsidRPr="00293B1F">
              <w:rPr>
                <w:b/>
                <w:bCs/>
              </w:rPr>
              <w:t>Terms and Conditions of the Offer:</w:t>
            </w:r>
          </w:p>
        </w:tc>
        <w:tc>
          <w:tcPr>
            <w:tcW w:w="3668" w:type="pct"/>
            <w:gridSpan w:val="2"/>
            <w:tcBorders>
              <w:top w:val="single" w:sz="4" w:space="0" w:color="auto"/>
              <w:left w:val="single" w:sz="4" w:space="0" w:color="auto"/>
              <w:right w:val="single" w:sz="4" w:space="0" w:color="auto"/>
            </w:tcBorders>
          </w:tcPr>
          <w:p w:rsidR="00BC0214" w:rsidRPr="00293B1F" w:rsidP="00826A2A">
            <w:pPr>
              <w:pStyle w:val="BodyText"/>
            </w:pPr>
            <w:r w:rsidRPr="00293B1F">
              <w:t xml:space="preserve">Any investor intending to acquire or acquiring any Instruments from an Authorised Offeror will do so, and offers and sales of the Instruments to an investor by an Authorised Offeror will be made, in accordance with any terms and other arrangements in place between such Authorised Offeror and such Investor including as to price, allocation and settlement arrangements. </w:t>
            </w:r>
          </w:p>
          <w:p w:rsidR="00BC0214" w:rsidRPr="00293B1F" w:rsidP="00826A2A">
            <w:pPr>
              <w:pStyle w:val="BodyText"/>
            </w:pPr>
            <w:r w:rsidRPr="00293B1F">
              <w:t>[</w:t>
            </w:r>
            <w:r w:rsidRPr="00293B1F">
              <w:rPr>
                <w:i/>
                <w:iCs/>
              </w:rPr>
              <w:t>A Public Offer of the Instruments will take place in the Public Offer Jurisdiction(s) during the Offer Period.</w:t>
            </w:r>
            <w:r w:rsidRPr="00293B1F">
              <w:t>]</w:t>
            </w:r>
            <w:r w:rsidRPr="00293B1F">
              <w:rPr>
                <w:i/>
                <w:iCs/>
              </w:rPr>
              <w:t xml:space="preserve"> </w:t>
            </w:r>
          </w:p>
        </w:tc>
      </w:tr>
      <w:tr w:rsidTr="008D78E3">
        <w:tblPrEx>
          <w:tblW w:w="5000" w:type="pct"/>
          <w:tblBorders>
            <w:top w:val="nil"/>
            <w:left w:val="nil"/>
            <w:bottom w:val="nil"/>
            <w:right w:val="nil"/>
            <w:insideH w:val="nil"/>
            <w:insideV w:val="nil"/>
          </w:tblBorders>
          <w:tblLook w:val="0000"/>
        </w:tblPrEx>
        <w:tc>
          <w:tcPr>
            <w:tcW w:w="377" w:type="pct"/>
            <w:tcBorders>
              <w:left w:val="single" w:sz="4" w:space="0" w:color="auto"/>
              <w:bottom w:val="single" w:sz="4" w:space="0" w:color="auto"/>
              <w:right w:val="single" w:sz="4" w:space="0" w:color="auto"/>
            </w:tcBorders>
          </w:tcPr>
          <w:p w:rsidR="00BC0214" w:rsidRPr="00293B1F" w:rsidP="00F3587A">
            <w:pPr>
              <w:pStyle w:val="BodyText"/>
              <w:widowControl w:val="0"/>
              <w:spacing w:after="100"/>
              <w:rPr>
                <w:b/>
                <w:bCs/>
              </w:rPr>
            </w:pPr>
          </w:p>
        </w:tc>
        <w:tc>
          <w:tcPr>
            <w:tcW w:w="955" w:type="pct"/>
            <w:tcBorders>
              <w:left w:val="single" w:sz="4" w:space="0" w:color="auto"/>
              <w:bottom w:val="single" w:sz="4" w:space="0" w:color="auto"/>
              <w:right w:val="single" w:sz="4" w:space="0" w:color="auto"/>
            </w:tcBorders>
          </w:tcPr>
          <w:p w:rsidR="00BC0214" w:rsidRPr="00293B1F" w:rsidP="00F3587A">
            <w:pPr>
              <w:pStyle w:val="BodyText"/>
              <w:keepNext/>
              <w:keepLines/>
              <w:widowControl w:val="0"/>
              <w:spacing w:after="100"/>
              <w:jc w:val="left"/>
              <w:rPr>
                <w:b/>
                <w:bCs/>
              </w:rPr>
            </w:pPr>
          </w:p>
        </w:tc>
        <w:tc>
          <w:tcPr>
            <w:tcW w:w="3668" w:type="pct"/>
            <w:gridSpan w:val="2"/>
            <w:tcBorders>
              <w:left w:val="single" w:sz="4" w:space="0" w:color="auto"/>
              <w:bottom w:val="single" w:sz="4" w:space="0" w:color="auto"/>
              <w:right w:val="single" w:sz="4" w:space="0" w:color="auto"/>
            </w:tcBorders>
          </w:tcPr>
          <w:p w:rsidR="00BC0214" w:rsidRPr="00293B1F" w:rsidP="00826A2A">
            <w:pPr>
              <w:pStyle w:val="BodyText"/>
              <w:rPr>
                <w:i/>
              </w:rPr>
            </w:pPr>
            <w:r w:rsidRPr="00293B1F">
              <w:rPr>
                <w:i/>
              </w:rPr>
              <w:t xml:space="preserve">Key information about the terms and conditions of this issue: </w:t>
            </w:r>
          </w:p>
          <w:p w:rsidR="00BC0214" w:rsidRPr="00293B1F" w:rsidP="00F80C3B">
            <w:pPr>
              <w:pStyle w:val="BodyText"/>
              <w:spacing w:after="100"/>
              <w:rPr>
                <w:i/>
              </w:rPr>
            </w:pPr>
            <w:r w:rsidRPr="00293B1F">
              <w:rPr>
                <w:i/>
              </w:rPr>
              <w:t>[Terms and conditions for the offer:]</w:t>
            </w:r>
          </w:p>
          <w:p w:rsidR="00BC0214" w:rsidRPr="00293B1F" w:rsidP="00F80C3B">
            <w:pPr>
              <w:pStyle w:val="BodyText"/>
              <w:spacing w:after="100"/>
              <w:rPr>
                <w:i/>
              </w:rPr>
            </w:pPr>
            <w:r w:rsidRPr="00293B1F">
              <w:rPr>
                <w:i/>
              </w:rPr>
              <w:t>[Number of issued Instruments:]</w:t>
            </w:r>
          </w:p>
          <w:p w:rsidR="00BC0214" w:rsidRPr="00293B1F" w:rsidP="00F80C3B">
            <w:pPr>
              <w:pStyle w:val="BodyText"/>
              <w:spacing w:after="100"/>
              <w:rPr>
                <w:i/>
              </w:rPr>
            </w:pPr>
            <w:r w:rsidRPr="00293B1F">
              <w:rPr>
                <w:i/>
              </w:rPr>
              <w:t>[Final date for Subscription:]</w:t>
            </w:r>
          </w:p>
          <w:p w:rsidR="00BC0214" w:rsidRPr="00293B1F" w:rsidP="00F80C3B">
            <w:pPr>
              <w:pStyle w:val="BodyText"/>
              <w:spacing w:after="100"/>
              <w:rPr>
                <w:i/>
              </w:rPr>
            </w:pPr>
            <w:r w:rsidRPr="00293B1F">
              <w:rPr>
                <w:i/>
              </w:rPr>
              <w:t>[Minimum and maximum subscription amount:]</w:t>
            </w:r>
          </w:p>
          <w:p w:rsidR="00BC0214" w:rsidRPr="00293B1F" w:rsidP="00F80C3B">
            <w:pPr>
              <w:pStyle w:val="BodyText"/>
              <w:spacing w:after="100"/>
              <w:rPr>
                <w:i/>
              </w:rPr>
            </w:pPr>
            <w:r w:rsidRPr="00293B1F">
              <w:rPr>
                <w:i/>
              </w:rPr>
              <w:t>[Price:]</w:t>
            </w:r>
          </w:p>
          <w:p w:rsidR="00BC0214" w:rsidRPr="00293B1F" w:rsidP="00F80C3B">
            <w:pPr>
              <w:pStyle w:val="BodyText"/>
              <w:spacing w:after="100"/>
              <w:rPr>
                <w:i/>
              </w:rPr>
            </w:pPr>
            <w:r w:rsidRPr="00293B1F">
              <w:rPr>
                <w:i/>
              </w:rPr>
              <w:t xml:space="preserve">[Notice regarding implemented issue:] </w:t>
            </w:r>
          </w:p>
          <w:p w:rsidR="00BC0214" w:rsidRPr="00293B1F" w:rsidP="00F80C3B">
            <w:pPr>
              <w:pStyle w:val="BodyText"/>
              <w:spacing w:after="100"/>
              <w:rPr>
                <w:i/>
              </w:rPr>
            </w:pPr>
            <w:r w:rsidRPr="00293B1F">
              <w:rPr>
                <w:i/>
              </w:rPr>
              <w:t>[Information regarding allotment:]</w:t>
            </w:r>
          </w:p>
          <w:p w:rsidR="00BC0214" w:rsidRPr="00293B1F" w:rsidP="00F80C3B">
            <w:pPr>
              <w:pStyle w:val="BodyText"/>
              <w:spacing w:after="100"/>
              <w:rPr>
                <w:i/>
              </w:rPr>
            </w:pPr>
            <w:r w:rsidRPr="00293B1F">
              <w:rPr>
                <w:i/>
              </w:rPr>
              <w:t>[Payment Date:]</w:t>
            </w:r>
          </w:p>
          <w:p w:rsidR="00BC0214" w:rsidRPr="00293B1F" w:rsidP="00F80C3B">
            <w:pPr>
              <w:pStyle w:val="BodyText"/>
              <w:spacing w:after="100"/>
              <w:rPr>
                <w:i/>
              </w:rPr>
            </w:pPr>
            <w:r w:rsidRPr="00293B1F">
              <w:rPr>
                <w:i/>
              </w:rPr>
              <w:t>[Commission:]</w:t>
            </w:r>
          </w:p>
          <w:p w:rsidR="00BC0214" w:rsidRPr="00293B1F" w:rsidP="00826A2A">
            <w:pPr>
              <w:pStyle w:val="BodyText"/>
              <w:rPr>
                <w:i/>
              </w:rPr>
            </w:pPr>
            <w:r w:rsidRPr="00293B1F">
              <w:rPr>
                <w:i/>
              </w:rPr>
              <w:t>[Fees:]</w:t>
            </w:r>
          </w:p>
        </w:tc>
      </w:tr>
      <w:tr w:rsidTr="008D78E3">
        <w:tblPrEx>
          <w:tblW w:w="5000" w:type="pct"/>
          <w:tblBorders>
            <w:top w:val="nil"/>
            <w:left w:val="nil"/>
            <w:bottom w:val="nil"/>
            <w:right w:val="nil"/>
            <w:insideH w:val="nil"/>
            <w:insideV w:val="nil"/>
          </w:tblBorders>
          <w:tblLook w:val="0000"/>
        </w:tblPrEx>
        <w:tc>
          <w:tcPr>
            <w:tcW w:w="377"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widowControl w:val="0"/>
              <w:spacing w:after="100"/>
              <w:rPr>
                <w:b/>
                <w:bCs/>
              </w:rPr>
            </w:pPr>
            <w:r w:rsidRPr="00293B1F">
              <w:rPr>
                <w:b/>
                <w:bCs/>
              </w:rPr>
              <w:t>E.4</w:t>
            </w:r>
          </w:p>
        </w:tc>
        <w:tc>
          <w:tcPr>
            <w:tcW w:w="955" w:type="pct"/>
            <w:tcBorders>
              <w:top w:val="single" w:sz="4" w:space="0" w:color="auto"/>
              <w:left w:val="single" w:sz="4" w:space="0" w:color="auto"/>
              <w:bottom w:val="single" w:sz="4" w:space="0" w:color="auto"/>
              <w:right w:val="single" w:sz="4" w:space="0" w:color="auto"/>
            </w:tcBorders>
          </w:tcPr>
          <w:p w:rsidR="00BC0214" w:rsidRPr="00293B1F" w:rsidP="00F3587A">
            <w:pPr>
              <w:pStyle w:val="BodyText"/>
              <w:keepNext/>
              <w:keepLines/>
              <w:widowControl w:val="0"/>
              <w:spacing w:after="100"/>
              <w:jc w:val="left"/>
              <w:rPr>
                <w:b/>
                <w:bCs/>
              </w:rPr>
            </w:pPr>
            <w:r w:rsidRPr="00293B1F">
              <w:rPr>
                <w:b/>
                <w:bCs/>
              </w:rPr>
              <w:t>Interests Material to the Issue:</w:t>
            </w:r>
          </w:p>
        </w:tc>
        <w:tc>
          <w:tcPr>
            <w:tcW w:w="3668" w:type="pct"/>
            <w:gridSpan w:val="2"/>
            <w:tcBorders>
              <w:top w:val="single" w:sz="4" w:space="0" w:color="auto"/>
              <w:left w:val="single" w:sz="4" w:space="0" w:color="auto"/>
              <w:bottom w:val="single" w:sz="4" w:space="0" w:color="auto"/>
              <w:right w:val="single" w:sz="4" w:space="0" w:color="auto"/>
            </w:tcBorders>
          </w:tcPr>
          <w:p w:rsidR="00BC0214" w:rsidRPr="00293B1F" w:rsidP="00152037">
            <w:pPr>
              <w:pStyle w:val="BodyText"/>
            </w:pPr>
            <w:r w:rsidRPr="00293B1F">
              <w:t>Authorised Offerors may be paid fees in relation to the distribution of Instruments issued under the Programme.</w:t>
            </w:r>
          </w:p>
          <w:p w:rsidR="00BC0214" w:rsidRPr="00293B1F" w:rsidP="00152037">
            <w:pPr>
              <w:pStyle w:val="BodyText"/>
              <w:rPr>
                <w:i/>
                <w:iCs/>
              </w:rPr>
            </w:pPr>
            <w:r w:rsidRPr="00293B1F">
              <w:rPr>
                <w:i/>
                <w:iCs/>
              </w:rPr>
              <w:t>So far as the Issuer is aware, no person involved in the issue of the Instruments has an interest material to the offer./[•].</w:t>
            </w:r>
          </w:p>
        </w:tc>
      </w:tr>
      <w:tr w:rsidTr="008D78E3">
        <w:tblPrEx>
          <w:tblW w:w="5000" w:type="pct"/>
          <w:tblBorders>
            <w:top w:val="nil"/>
            <w:left w:val="nil"/>
            <w:bottom w:val="nil"/>
            <w:right w:val="nil"/>
            <w:insideH w:val="nil"/>
            <w:insideV w:val="nil"/>
          </w:tblBorders>
          <w:tblLook w:val="0000"/>
        </w:tblPrEx>
        <w:tc>
          <w:tcPr>
            <w:tcW w:w="377" w:type="pct"/>
            <w:tcBorders>
              <w:top w:val="single" w:sz="4" w:space="0" w:color="auto"/>
              <w:left w:val="single" w:sz="4" w:space="0" w:color="auto"/>
              <w:right w:val="single" w:sz="4" w:space="0" w:color="auto"/>
            </w:tcBorders>
          </w:tcPr>
          <w:p w:rsidR="00BC0214" w:rsidRPr="00293B1F" w:rsidP="00F3587A">
            <w:pPr>
              <w:pStyle w:val="BodyText"/>
              <w:widowControl w:val="0"/>
              <w:spacing w:after="100"/>
              <w:rPr>
                <w:b/>
                <w:bCs/>
              </w:rPr>
            </w:pPr>
            <w:r w:rsidRPr="00293B1F">
              <w:rPr>
                <w:b/>
                <w:bCs/>
              </w:rPr>
              <w:t>E.7</w:t>
            </w:r>
          </w:p>
        </w:tc>
        <w:tc>
          <w:tcPr>
            <w:tcW w:w="955" w:type="pct"/>
            <w:tcBorders>
              <w:top w:val="single" w:sz="4" w:space="0" w:color="auto"/>
              <w:left w:val="single" w:sz="4" w:space="0" w:color="auto"/>
              <w:right w:val="single" w:sz="4" w:space="0" w:color="auto"/>
            </w:tcBorders>
          </w:tcPr>
          <w:p w:rsidR="00BC0214" w:rsidRPr="00293B1F" w:rsidP="00F3587A">
            <w:pPr>
              <w:pStyle w:val="BodyText"/>
              <w:keepNext/>
              <w:keepLines/>
              <w:widowControl w:val="0"/>
              <w:spacing w:after="100"/>
              <w:jc w:val="left"/>
              <w:rPr>
                <w:b/>
                <w:bCs/>
              </w:rPr>
            </w:pPr>
            <w:r w:rsidRPr="00293B1F">
              <w:rPr>
                <w:b/>
                <w:bCs/>
              </w:rPr>
              <w:t>Estimated Expenses:</w:t>
            </w:r>
          </w:p>
        </w:tc>
        <w:tc>
          <w:tcPr>
            <w:tcW w:w="3668" w:type="pct"/>
            <w:gridSpan w:val="2"/>
            <w:tcBorders>
              <w:top w:val="single" w:sz="4" w:space="0" w:color="auto"/>
              <w:left w:val="single" w:sz="4" w:space="0" w:color="auto"/>
              <w:right w:val="single" w:sz="4" w:space="0" w:color="auto"/>
            </w:tcBorders>
          </w:tcPr>
          <w:p w:rsidR="00BC0214" w:rsidRPr="00293B1F" w:rsidP="00735241">
            <w:pPr>
              <w:pStyle w:val="BodyText"/>
            </w:pPr>
            <w:r w:rsidRPr="00293B1F">
              <w:t>It is not anticipated that the Issuer</w:t>
            </w:r>
            <w:r w:rsidR="00735241">
              <w:rPr>
                <w:vertAlign w:val="superscript"/>
              </w:rPr>
              <w:t>18</w:t>
            </w:r>
            <w:r w:rsidRPr="00293B1F">
              <w:t xml:space="preserve"> will charge any expenses to investors in connection with any issue of Instruments. Other Authorised Offerors may, however, charge expenses to investors. Any expenses chargeable by an Authorised Offeror to </w:t>
            </w:r>
            <w:r w:rsidRPr="00152037">
              <w:rPr>
                <w:i/>
              </w:rPr>
              <w:t>an</w:t>
            </w:r>
            <w:r w:rsidRPr="00293B1F">
              <w:t xml:space="preserve"> investor shall be charged in accordance with any contractual arrangements agreed between the Investor and such Authorised Offeror at the time of the relevant offer. Such expenses (if any) will be determined on a case by case basis.</w:t>
            </w:r>
          </w:p>
        </w:tc>
      </w:tr>
      <w:tr w:rsidTr="008D78E3">
        <w:tblPrEx>
          <w:tblW w:w="5000" w:type="pct"/>
          <w:tblBorders>
            <w:top w:val="nil"/>
            <w:left w:val="nil"/>
            <w:bottom w:val="nil"/>
            <w:right w:val="nil"/>
            <w:insideH w:val="nil"/>
            <w:insideV w:val="nil"/>
          </w:tblBorders>
          <w:tblLook w:val="0000"/>
        </w:tblPrEx>
        <w:tc>
          <w:tcPr>
            <w:tcW w:w="377" w:type="pct"/>
            <w:tcBorders>
              <w:left w:val="single" w:sz="4" w:space="0" w:color="auto"/>
              <w:bottom w:val="single" w:sz="4" w:space="0" w:color="auto"/>
              <w:right w:val="single" w:sz="4" w:space="0" w:color="auto"/>
            </w:tcBorders>
          </w:tcPr>
          <w:p w:rsidR="00BC0214" w:rsidRPr="00293B1F" w:rsidP="00F3587A">
            <w:pPr>
              <w:pStyle w:val="BodyText"/>
              <w:widowControl w:val="0"/>
              <w:rPr>
                <w:b/>
                <w:bCs/>
              </w:rPr>
            </w:pPr>
          </w:p>
        </w:tc>
        <w:tc>
          <w:tcPr>
            <w:tcW w:w="955" w:type="pct"/>
            <w:tcBorders>
              <w:left w:val="single" w:sz="4" w:space="0" w:color="auto"/>
              <w:bottom w:val="single" w:sz="4" w:space="0" w:color="auto"/>
              <w:right w:val="single" w:sz="4" w:space="0" w:color="auto"/>
            </w:tcBorders>
          </w:tcPr>
          <w:p w:rsidR="00BC0214" w:rsidRPr="00293B1F" w:rsidP="00F3587A">
            <w:pPr>
              <w:pStyle w:val="BodyText"/>
              <w:keepNext/>
              <w:keepLines/>
              <w:widowControl w:val="0"/>
              <w:jc w:val="left"/>
              <w:rPr>
                <w:b/>
                <w:bCs/>
              </w:rPr>
            </w:pPr>
          </w:p>
        </w:tc>
        <w:tc>
          <w:tcPr>
            <w:tcW w:w="3668" w:type="pct"/>
            <w:gridSpan w:val="2"/>
            <w:tcBorders>
              <w:left w:val="single" w:sz="4" w:space="0" w:color="auto"/>
              <w:bottom w:val="single" w:sz="4" w:space="0" w:color="auto"/>
              <w:right w:val="single" w:sz="4" w:space="0" w:color="auto"/>
            </w:tcBorders>
          </w:tcPr>
          <w:p w:rsidR="00BC0214" w:rsidRPr="00293B1F" w:rsidP="00152037">
            <w:pPr>
              <w:pStyle w:val="BodyText"/>
              <w:rPr>
                <w:i/>
                <w:iCs/>
              </w:rPr>
            </w:pPr>
            <w:r w:rsidRPr="00293B1F">
              <w:rPr>
                <w:i/>
                <w:iCs/>
              </w:rPr>
              <w:t>No expenses are being charged to an investor in the Instruments by the Issuer [or any Authorised Offeror]./The Authorised Offeror(s) will charge expenses to investors. The estimated expenses chargeable to investors by the Authorised Offeror(s) are [•].</w:t>
            </w:r>
          </w:p>
        </w:tc>
      </w:tr>
    </w:tbl>
    <w:p w:rsidR="00E55762" w:rsidP="00BC0214">
      <w:pPr>
        <w:pStyle w:val="BodyText"/>
        <w:sectPr w:rsidSect="0078686E">
          <w:footerReference w:type="default" r:id="rId21"/>
          <w:footerReference w:type="first" r:id="rId22"/>
          <w:pgSz w:w="11906" w:h="16838"/>
          <w:pgMar w:top="1440" w:right="1701" w:bottom="1440" w:left="1701" w:header="720" w:footer="284" w:gutter="0"/>
          <w:pgNumType w:start="1"/>
          <w:cols w:space="708"/>
          <w:docGrid w:linePitch="360"/>
        </w:sectPr>
      </w:pPr>
    </w:p>
    <w:p w:rsidR="00E55762" w:rsidRPr="00293B1F" w:rsidP="00E55762">
      <w:pPr>
        <w:pStyle w:val="Title1"/>
        <w:rPr>
          <w:rFonts w:hint="eastAsia"/>
          <w:lang w:val="sv-SE"/>
        </w:rPr>
      </w:pPr>
      <w:bookmarkStart w:id="6" w:name="_Toc453679723"/>
      <w:r w:rsidRPr="00293B1F">
        <w:rPr>
          <w:lang w:val="sv-SE"/>
        </w:rPr>
        <w:t>SAMMANFATTNING AV GRUNDPROSPEKTET</w:t>
      </w:r>
      <w:bookmarkEnd w:id="6"/>
    </w:p>
    <w:p w:rsidR="00E55762" w:rsidRPr="00293B1F" w:rsidP="00E55762">
      <w:pPr>
        <w:pStyle w:val="Title7"/>
        <w:rPr>
          <w:lang w:val="sv-SE"/>
        </w:rPr>
      </w:pPr>
      <w:r w:rsidRPr="00293B1F">
        <w:rPr>
          <w:lang w:val="sv-SE"/>
        </w:rPr>
        <w:t>Sammanfattningar består av informationskrav vilka redogörs för i ett antal punkter. Punkterna är numrerade i avsnitt A–E (A.1–E.7).</w:t>
      </w:r>
    </w:p>
    <w:p w:rsidR="00E55762" w:rsidRPr="00293B1F" w:rsidP="00E55762">
      <w:pPr>
        <w:pStyle w:val="Title7"/>
        <w:rPr>
          <w:lang w:val="sv-SE"/>
        </w:rPr>
      </w:pPr>
      <w:r w:rsidRPr="00293B1F">
        <w:rPr>
          <w:lang w:val="sv-SE"/>
        </w:rPr>
        <w:t>Denna sammanfattning innehåller alla de punkter som krävs i en sammanfattning för denna typ av värdepapper och Emittente</w:t>
      </w:r>
      <w:r>
        <w:rPr>
          <w:lang w:val="sv-SE"/>
        </w:rPr>
        <w:t>n</w:t>
      </w:r>
      <w:r w:rsidRPr="00293B1F">
        <w:rPr>
          <w:lang w:val="sv-SE"/>
        </w:rPr>
        <w:t>. Eftersom vissa punkter inte är aktuella kan det finnas luckor i punkternas numrering.</w:t>
      </w:r>
    </w:p>
    <w:p w:rsidR="00E55762" w:rsidRPr="00293B1F" w:rsidP="00E55762">
      <w:pPr>
        <w:pStyle w:val="Title7"/>
        <w:rPr>
          <w:lang w:val="sv-SE"/>
        </w:rPr>
      </w:pPr>
      <w:r w:rsidRPr="00293B1F">
        <w:rPr>
          <w:lang w:val="sv-SE"/>
        </w:rPr>
        <w:t xml:space="preserve">Även om det krävs att en punkt inkluderas i en sammanfattning för aktuella typer av värdepapper och för den Emittenten, är det möjligt att ingen relevant information kan ges rörande punkten. Informationen har då ersatts med angivelsen </w:t>
      </w:r>
      <w:r>
        <w:rPr>
          <w:lang w:val="sv-SE"/>
        </w:rPr>
        <w:t>"</w:t>
      </w:r>
      <w:r w:rsidRPr="00293B1F">
        <w:rPr>
          <w:lang w:val="sv-SE"/>
        </w:rPr>
        <w:t>Ej tillämpligt</w:t>
      </w:r>
      <w:r>
        <w:rPr>
          <w:lang w:val="sv-SE"/>
        </w:rPr>
        <w:t>"</w:t>
      </w:r>
      <w:r w:rsidRPr="00293B1F">
        <w:rPr>
          <w:lang w:val="sv-SE"/>
        </w:rPr>
        <w:t>.</w:t>
      </w:r>
    </w:p>
    <w:p w:rsidR="00E55762" w:rsidRPr="00293B1F" w:rsidP="00E55762">
      <w:pPr>
        <w:pStyle w:val="Title7"/>
        <w:rPr>
          <w:lang w:val="sv-SE"/>
        </w:rPr>
      </w:pPr>
      <w:r w:rsidRPr="00293B1F">
        <w:rPr>
          <w:lang w:val="sv-SE"/>
        </w:rPr>
        <w:t>Särskilt punkter i kursiv stil betecknar utrymmen för att färdigställa den emissionsspecifika sammanfattningen för en Tranch av Instrument för vilka en sådan emissionsspecifik sammanfattning ska förberedas.</w:t>
      </w:r>
    </w:p>
    <w:p w:rsidR="00E55762" w:rsidRPr="00293B1F" w:rsidP="00E55762">
      <w:pPr>
        <w:pStyle w:val="Title7"/>
        <w:rPr>
          <w:lang w:val="sv-SE"/>
        </w:rPr>
      </w:pPr>
      <w:r w:rsidRPr="00293B1F">
        <w:rPr>
          <w:lang w:val="sv-SE"/>
        </w:rPr>
        <w:t xml:space="preserve">Ord och uttryck som definieras i avsnitten som kallas </w:t>
      </w:r>
      <w:r>
        <w:rPr>
          <w:lang w:val="sv-SE"/>
        </w:rPr>
        <w:t>"</w:t>
      </w:r>
      <w:r w:rsidRPr="00293B1F">
        <w:rPr>
          <w:lang w:val="sv-SE"/>
        </w:rPr>
        <w:t>Allmänna Villkor för Instrumenten</w:t>
      </w:r>
      <w:r>
        <w:rPr>
          <w:lang w:val="sv-SE"/>
        </w:rPr>
        <w:t>"</w:t>
      </w:r>
      <w:r w:rsidRPr="00293B1F">
        <w:rPr>
          <w:lang w:val="sv-SE"/>
        </w:rPr>
        <w:t xml:space="preserve"> eller på andra ställen i detta Grundprospekt har samma betydelse i denna sammanfattning. </w:t>
      </w:r>
    </w:p>
    <w:tbl>
      <w:tblPr>
        <w:tblW w:w="5000" w:type="pct"/>
        <w:tblLayout w:type="fixed"/>
        <w:tblLook w:val="0000"/>
      </w:tblPr>
      <w:tblGrid>
        <w:gridCol w:w="676"/>
        <w:gridCol w:w="1659"/>
        <w:gridCol w:w="6385"/>
      </w:tblGrid>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center"/>
              <w:rPr>
                <w:b/>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center"/>
              <w:rPr>
                <w:b/>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7E03B0" w:rsidP="003722D9">
            <w:pPr>
              <w:pStyle w:val="BodyText"/>
              <w:keepNext/>
              <w:jc w:val="center"/>
              <w:rPr>
                <w:rStyle w:val="EndnoteReference"/>
                <w:b/>
                <w:lang w:val="sv-SE"/>
              </w:rPr>
            </w:pPr>
            <w:r w:rsidRPr="00293B1F">
              <w:rPr>
                <w:b/>
                <w:lang w:val="sv-SE"/>
              </w:rPr>
              <w:t>Avsnitt A – Inledning och Varningar</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rStyle w:val="EndnoteReference"/>
                <w:b/>
              </w:rPr>
            </w:pPr>
            <w:r w:rsidRPr="00293B1F">
              <w:rPr>
                <w:b/>
              </w:rPr>
              <w:t>A.1</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rStyle w:val="EndnoteReference"/>
                <w:b/>
              </w:rPr>
            </w:pPr>
            <w:r w:rsidRPr="00293B1F">
              <w:rPr>
                <w:b/>
              </w:rPr>
              <w:t>Inledning:</w:t>
            </w:r>
          </w:p>
        </w:tc>
        <w:tc>
          <w:tcPr>
            <w:tcW w:w="3661" w:type="pct"/>
            <w:tcBorders>
              <w:top w:val="single" w:sz="4" w:space="0" w:color="auto"/>
              <w:left w:val="single" w:sz="4" w:space="0" w:color="auto"/>
              <w:bottom w:val="single" w:sz="4" w:space="0" w:color="auto"/>
              <w:right w:val="single" w:sz="4" w:space="0" w:color="auto"/>
            </w:tcBorders>
          </w:tcPr>
          <w:p w:rsidR="00E55762" w:rsidRPr="00ED7929" w:rsidP="003722D9">
            <w:pPr>
              <w:pStyle w:val="BodyText"/>
              <w:rPr>
                <w:rFonts w:eastAsiaTheme="minorEastAsia"/>
                <w:i/>
                <w:iCs/>
                <w:lang w:val="sv-SE"/>
              </w:rPr>
            </w:pPr>
            <w:r w:rsidRPr="00293B1F">
              <w:rPr>
                <w:rFonts w:eastAsiaTheme="minorEastAsia"/>
                <w:i/>
                <w:iCs/>
                <w:lang w:val="sv-SE"/>
              </w:rPr>
              <w:t>Denna sammanfattning ska läsas som en inledning till detta Grundprospekt och varje beslut om att investera i Instrumenten ska baseras på en bedömning av Grundprospektet i dess helhet av investeraren. Om ett yrkande gällande informationen i detta Grundprospekt framförs inför domstol i en Medlemsstat i det Europeiska Ekonomiska Samarbetsområdet kan käranden enligt den nationella lagstiftningen i Medlemsstaterna bli skyldig att stå för kostnaderna för att översätta Grundprospektet innan de rättsliga förfarandena inleds. Inget civilrättsligt ansvar kommer kunna göras gällande mot Emittent</w:t>
            </w:r>
            <w:r>
              <w:rPr>
                <w:rFonts w:eastAsiaTheme="minorEastAsia"/>
                <w:i/>
                <w:iCs/>
                <w:lang w:val="sv-SE"/>
              </w:rPr>
              <w:t>en</w:t>
            </w:r>
            <w:r>
              <w:rPr>
                <w:rStyle w:val="FootnoteReference"/>
                <w:b/>
              </w:rPr>
              <w:footnoteReference w:id="20"/>
            </w:r>
            <w:r w:rsidRPr="00293B1F">
              <w:rPr>
                <w:rFonts w:eastAsiaTheme="minorEastAsia"/>
                <w:i/>
                <w:iCs/>
                <w:lang w:val="sv-SE"/>
              </w:rPr>
              <w:t xml:space="preserve"> i någon sådan Medlemsstat enbart på grund av denna sammanfattning, inklusive alla översättningar av den, såvida den inte är vilseledande, felaktig eller oförenlig när den läses tillsammans med de andra avsnitten av detta Grundprospekt eller om den inte innehåller, när den läses tillsammans med de andra avsnitten i detta Grundprospekt, relevant information för att hjälpa investerare att fatta beslut om att investera i Instrumenten.</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rPr>
            </w:pPr>
            <w:r w:rsidRPr="00293B1F">
              <w:rPr>
                <w:b/>
              </w:rPr>
              <w:t>A.2</w:t>
            </w:r>
          </w:p>
        </w:tc>
        <w:tc>
          <w:tcPr>
            <w:tcW w:w="951" w:type="pct"/>
            <w:tcBorders>
              <w:left w:val="single" w:sz="4" w:space="0" w:color="auto"/>
              <w:right w:val="single" w:sz="4" w:space="0" w:color="auto"/>
            </w:tcBorders>
          </w:tcPr>
          <w:p w:rsidR="00E55762" w:rsidRPr="00293B1F" w:rsidP="003722D9">
            <w:pPr>
              <w:pStyle w:val="BodyText"/>
              <w:jc w:val="left"/>
              <w:rPr>
                <w:b/>
              </w:rPr>
            </w:pPr>
            <w:r w:rsidRPr="00293B1F">
              <w:rPr>
                <w:b/>
              </w:rPr>
              <w:t>Samtycke:</w:t>
            </w:r>
          </w:p>
        </w:tc>
        <w:tc>
          <w:tcPr>
            <w:tcW w:w="3661" w:type="pct"/>
            <w:tcBorders>
              <w:left w:val="single" w:sz="4" w:space="0" w:color="auto"/>
              <w:right w:val="single" w:sz="4" w:space="0" w:color="auto"/>
            </w:tcBorders>
          </w:tcPr>
          <w:p w:rsidR="00E55762" w:rsidRPr="00293B1F" w:rsidP="003722D9">
            <w:pPr>
              <w:pStyle w:val="BodyText"/>
              <w:rPr>
                <w:lang w:val="sv-SE"/>
              </w:rPr>
            </w:pPr>
            <w:r w:rsidRPr="00293B1F">
              <w:rPr>
                <w:lang w:val="sv-SE"/>
              </w:rPr>
              <w:t xml:space="preserve">Instrument kan komma att erbjudas i fall då något undantag att upprätta ett prospekt enligt Prospektdirektivet inte är tillämpligt. Varje sådant erbjudande utgör ett </w:t>
            </w:r>
            <w:r>
              <w:rPr>
                <w:lang w:val="sv-SE"/>
              </w:rPr>
              <w:t>"</w:t>
            </w:r>
            <w:r w:rsidRPr="00293B1F">
              <w:rPr>
                <w:b/>
                <w:lang w:val="sv-SE"/>
              </w:rPr>
              <w:t>Erbjudande till Allmänheten</w:t>
            </w:r>
            <w:r>
              <w:rPr>
                <w:lang w:val="sv-SE"/>
              </w:rPr>
              <w:t>"</w:t>
            </w:r>
            <w:r w:rsidRPr="00293B1F">
              <w:rPr>
                <w:lang w:val="sv-SE"/>
              </w:rPr>
              <w:t xml:space="preserve">.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i/>
                <w:iCs/>
                <w:lang w:val="sv-SE"/>
              </w:rPr>
            </w:pPr>
            <w:r w:rsidRPr="00293B1F">
              <w:rPr>
                <w:i/>
                <w:iCs/>
                <w:lang w:val="sv-SE"/>
              </w:rPr>
              <w:t xml:space="preserve">Emittenten samtycker till användandet av detta Grundprospekt i samband med ett Erbjudande till Allmänheten av Instrumenten av varje finansiell intermediär som är behörig att göra sådana erbjudanden enligt direktiv 2004/39/EG om marknader för finansiella instrument (en </w:t>
            </w:r>
            <w:r>
              <w:rPr>
                <w:i/>
                <w:iCs/>
                <w:lang w:val="sv-SE"/>
              </w:rPr>
              <w:t>"</w:t>
            </w:r>
            <w:r w:rsidRPr="00293B1F">
              <w:rPr>
                <w:b/>
                <w:i/>
                <w:iCs/>
                <w:lang w:val="sv-SE"/>
              </w:rPr>
              <w:t>Auktoriserad Säljare</w:t>
            </w:r>
            <w:r>
              <w:rPr>
                <w:i/>
                <w:iCs/>
                <w:lang w:val="sv-SE"/>
              </w:rPr>
              <w:t>"</w:t>
            </w:r>
            <w:r w:rsidRPr="00293B1F">
              <w:rPr>
                <w:i/>
                <w:iCs/>
                <w:lang w:val="sv-SE"/>
              </w:rPr>
              <w:t>) under förutsättning att: (a) det relevanta Publika Erbjudandet inträffar under perioden från och med [•] till men inte inklusive [•] (</w:t>
            </w:r>
            <w:r>
              <w:rPr>
                <w:i/>
                <w:iCs/>
                <w:lang w:val="sv-SE"/>
              </w:rPr>
              <w:t>"</w:t>
            </w:r>
            <w:r w:rsidRPr="00293B1F">
              <w:rPr>
                <w:b/>
                <w:i/>
                <w:iCs/>
                <w:lang w:val="sv-SE"/>
              </w:rPr>
              <w:t>Erbjudandeperioden</w:t>
            </w:r>
            <w:r>
              <w:rPr>
                <w:i/>
                <w:iCs/>
                <w:lang w:val="sv-SE"/>
              </w:rPr>
              <w:t>"</w:t>
            </w:r>
            <w:r w:rsidRPr="00293B1F">
              <w:rPr>
                <w:i/>
                <w:iCs/>
                <w:lang w:val="sv-SE"/>
              </w:rPr>
              <w:t>) i [•] [och [•]] (</w:t>
            </w:r>
            <w:r>
              <w:rPr>
                <w:i/>
                <w:iCs/>
                <w:lang w:val="sv-SE"/>
              </w:rPr>
              <w:t>"</w:t>
            </w:r>
            <w:r w:rsidRPr="00293B1F">
              <w:rPr>
                <w:b/>
                <w:i/>
                <w:iCs/>
                <w:lang w:val="sv-SE"/>
              </w:rPr>
              <w:t>Jurisdiktion(er) för Erbjudande till Allmänheten</w:t>
            </w:r>
            <w:r>
              <w:rPr>
                <w:i/>
                <w:iCs/>
                <w:lang w:val="sv-SE"/>
              </w:rPr>
              <w:t>"</w:t>
            </w:r>
            <w:r w:rsidRPr="00293B1F">
              <w:rPr>
                <w:i/>
                <w:iCs/>
                <w:lang w:val="sv-SE"/>
              </w:rPr>
              <w:t xml:space="preserve">) och (b) den relevanta Auktoriserade Säljaren har ingått Villkoren för Auktoriserade Säljare [och uppfyller följande ytterligare villkor: [•]]./ Emittenten samtycker till användande av detta Grundprospekt i samband med ett Erbjudande till Allmänheten av Instrumenten av [•] (en </w:t>
            </w:r>
            <w:r>
              <w:rPr>
                <w:i/>
                <w:iCs/>
                <w:lang w:val="sv-SE"/>
              </w:rPr>
              <w:t>"</w:t>
            </w:r>
            <w:r w:rsidRPr="00293B1F">
              <w:rPr>
                <w:b/>
                <w:i/>
                <w:iCs/>
                <w:lang w:val="sv-SE"/>
              </w:rPr>
              <w:t>Auktoriserad Säljare</w:t>
            </w:r>
            <w:r>
              <w:rPr>
                <w:i/>
                <w:iCs/>
                <w:lang w:val="sv-SE"/>
              </w:rPr>
              <w:t>"</w:t>
            </w:r>
            <w:r w:rsidRPr="00293B1F">
              <w:rPr>
                <w:i/>
                <w:iCs/>
                <w:lang w:val="sv-SE"/>
              </w:rPr>
              <w:t>) under förutsättning att: (a) det relevanta Publika Erbjudandet inträffar under perioden från och med [•]] till men inte inklusive [•] (</w:t>
            </w:r>
            <w:r>
              <w:rPr>
                <w:i/>
                <w:iCs/>
                <w:lang w:val="sv-SE"/>
              </w:rPr>
              <w:t>"</w:t>
            </w:r>
            <w:r w:rsidRPr="00293B1F">
              <w:rPr>
                <w:b/>
                <w:i/>
                <w:iCs/>
                <w:lang w:val="sv-SE"/>
              </w:rPr>
              <w:t>Erbjudandeperioden</w:t>
            </w:r>
            <w:r>
              <w:rPr>
                <w:i/>
                <w:iCs/>
                <w:lang w:val="sv-SE"/>
              </w:rPr>
              <w:t>"</w:t>
            </w:r>
            <w:r w:rsidRPr="00293B1F">
              <w:rPr>
                <w:i/>
                <w:iCs/>
                <w:lang w:val="sv-SE"/>
              </w:rPr>
              <w:t>) i [•] [och [•]] (</w:t>
            </w:r>
            <w:r>
              <w:rPr>
                <w:i/>
                <w:iCs/>
                <w:lang w:val="sv-SE"/>
              </w:rPr>
              <w:t>"</w:t>
            </w:r>
            <w:r w:rsidRPr="00293B1F">
              <w:rPr>
                <w:b/>
                <w:i/>
                <w:iCs/>
                <w:lang w:val="sv-SE"/>
              </w:rPr>
              <w:t>Jurisdiktion(er) för Erbjudande till Allmänheten</w:t>
            </w:r>
            <w:r>
              <w:rPr>
                <w:i/>
                <w:iCs/>
                <w:lang w:val="sv-SE"/>
              </w:rPr>
              <w:t>"</w:t>
            </w:r>
            <w:r w:rsidRPr="00293B1F">
              <w:rPr>
                <w:i/>
                <w:iCs/>
                <w:lang w:val="sv-SE"/>
              </w:rPr>
              <w:t>) och (b) den relevanta Auktoriserade Säljaren har ingått Villkoren för Auktoriserade Säljare [och uppfyllt följande ytterligare villkor: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000000"/>
              <w:right w:val="single" w:sz="4" w:space="0" w:color="auto"/>
            </w:tcBorders>
          </w:tcPr>
          <w:p w:rsidR="00E55762" w:rsidRPr="00293B1F" w:rsidP="003722D9">
            <w:pPr>
              <w:pStyle w:val="BodyText"/>
              <w:rPr>
                <w:b/>
                <w:lang w:val="sv-SE"/>
              </w:rPr>
            </w:pPr>
          </w:p>
        </w:tc>
        <w:tc>
          <w:tcPr>
            <w:tcW w:w="951" w:type="pct"/>
            <w:tcBorders>
              <w:top w:val="single" w:sz="4" w:space="0" w:color="auto"/>
              <w:left w:val="single" w:sz="4" w:space="0" w:color="auto"/>
              <w:bottom w:val="single" w:sz="4" w:space="0" w:color="000000"/>
              <w:right w:val="single" w:sz="4" w:space="0" w:color="auto"/>
            </w:tcBorders>
          </w:tcPr>
          <w:p w:rsidR="00E55762" w:rsidRPr="00293B1F" w:rsidP="003722D9">
            <w:pPr>
              <w:pStyle w:val="BodyText"/>
              <w:rPr>
                <w:b/>
                <w:lang w:val="sv-SE"/>
              </w:rPr>
            </w:pPr>
          </w:p>
        </w:tc>
        <w:tc>
          <w:tcPr>
            <w:tcW w:w="3661" w:type="pct"/>
            <w:tcBorders>
              <w:top w:val="single" w:sz="4" w:space="0" w:color="auto"/>
              <w:left w:val="single" w:sz="4" w:space="0" w:color="auto"/>
              <w:bottom w:val="single" w:sz="4" w:space="0" w:color="000000"/>
              <w:right w:val="single" w:sz="4" w:space="0" w:color="auto"/>
            </w:tcBorders>
          </w:tcPr>
          <w:p w:rsidR="00E55762" w:rsidRPr="00293B1F" w:rsidP="003722D9">
            <w:pPr>
              <w:pStyle w:val="BodyText"/>
              <w:rPr>
                <w:b/>
                <w:bCs/>
                <w:lang w:val="sv-SE"/>
              </w:rPr>
            </w:pPr>
            <w:r w:rsidRPr="00293B1F">
              <w:rPr>
                <w:b/>
                <w:bCs/>
                <w:lang w:val="sv-SE"/>
              </w:rPr>
              <w:t xml:space="preserve">Auktoriserade Säljare kommer att tillhandahålla information om de villkor som gäller för Erbjudandet till Allmänheten av de relevanta Instrumenten vid den tidpunkt ett sådant Erbjudande till Allmänheten görs till en Investerare av en Auktoriserad Säljare. </w:t>
            </w:r>
          </w:p>
        </w:tc>
      </w:tr>
      <w:tr w:rsidTr="003722D9">
        <w:tblPrEx>
          <w:tblW w:w="5000" w:type="pct"/>
          <w:tblLayout w:type="fixed"/>
          <w:tblLook w:val="0000"/>
        </w:tblPrEx>
        <w:trPr>
          <w:cantSplit/>
        </w:trPr>
        <w:tc>
          <w:tcPr>
            <w:tcW w:w="388" w:type="pct"/>
            <w:tcBorders>
              <w:top w:val="single" w:sz="4" w:space="0" w:color="000000"/>
              <w:left w:val="single" w:sz="4" w:space="0" w:color="auto"/>
              <w:bottom w:val="single" w:sz="4" w:space="0" w:color="auto"/>
              <w:right w:val="single" w:sz="4" w:space="0" w:color="auto"/>
            </w:tcBorders>
          </w:tcPr>
          <w:p w:rsidR="00E55762" w:rsidRPr="00293B1F" w:rsidP="003722D9">
            <w:pPr>
              <w:pStyle w:val="BodyText"/>
              <w:keepNext/>
              <w:jc w:val="center"/>
              <w:rPr>
                <w:b/>
                <w:lang w:val="sv-SE"/>
              </w:rPr>
            </w:pPr>
          </w:p>
        </w:tc>
        <w:tc>
          <w:tcPr>
            <w:tcW w:w="4612" w:type="pct"/>
            <w:gridSpan w:val="2"/>
            <w:tcBorders>
              <w:top w:val="single" w:sz="4" w:space="0" w:color="000000"/>
              <w:left w:val="single" w:sz="4" w:space="0" w:color="auto"/>
              <w:bottom w:val="single" w:sz="4" w:space="0" w:color="auto"/>
              <w:right w:val="single" w:sz="4" w:space="0" w:color="auto"/>
            </w:tcBorders>
          </w:tcPr>
          <w:p w:rsidR="00E55762" w:rsidRPr="00293B1F" w:rsidP="003722D9">
            <w:pPr>
              <w:pStyle w:val="BodyText"/>
              <w:jc w:val="center"/>
            </w:pPr>
            <w:r>
              <w:rPr>
                <w:b/>
              </w:rPr>
              <w:t>Avsnitt B – Emittent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rPr>
            </w:pPr>
            <w:r w:rsidRPr="00293B1F">
              <w:rPr>
                <w:b/>
                <w:bCs/>
              </w:rPr>
              <w:t>B.1</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rPr>
            </w:pPr>
            <w:r w:rsidRPr="00293B1F">
              <w:rPr>
                <w:b/>
                <w:bCs/>
              </w:rPr>
              <w:t>Registrerad firma för Emitten</w:t>
            </w:r>
            <w:r>
              <w:rPr>
                <w:b/>
                <w:bCs/>
              </w:rPr>
              <w:t>ten</w:t>
            </w:r>
            <w:r w:rsidRPr="00293B1F">
              <w:rPr>
                <w:b/>
                <w:bCs/>
              </w:rPr>
              <w:t>:</w:t>
            </w:r>
          </w:p>
        </w:tc>
        <w:tc>
          <w:tcPr>
            <w:tcW w:w="3661" w:type="pct"/>
            <w:tcBorders>
              <w:top w:val="single" w:sz="4" w:space="0" w:color="auto"/>
              <w:left w:val="single" w:sz="4" w:space="0" w:color="auto"/>
              <w:right w:val="single" w:sz="4" w:space="0" w:color="auto"/>
            </w:tcBorders>
          </w:tcPr>
          <w:p w:rsidR="00E55762" w:rsidRPr="00ED7929" w:rsidP="003722D9">
            <w:pPr>
              <w:pStyle w:val="BodyText"/>
              <w:rPr>
                <w:lang w:val="de-DE"/>
              </w:rPr>
            </w:pPr>
            <w:r w:rsidRPr="00293B1F">
              <w:rPr>
                <w:lang w:val="de-DE"/>
              </w:rPr>
              <w:t>Nordea Bank AB (publ)</w:t>
            </w:r>
            <w:r>
              <w:rPr>
                <w:rStyle w:val="FootnoteReference"/>
                <w:b/>
              </w:rPr>
              <w:t xml:space="preserve"> </w:t>
            </w:r>
            <w:r>
              <w:rPr>
                <w:rStyle w:val="FootnoteReference"/>
                <w:b/>
              </w:rPr>
              <w:footnoteReference w:id="21"/>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iCs/>
              </w:rPr>
            </w:pPr>
            <w:r w:rsidRPr="00293B1F">
              <w:rPr>
                <w:rFonts w:eastAsiaTheme="minorEastAsia"/>
                <w:b/>
                <w:bCs/>
                <w:lang w:val="sv-SE"/>
              </w:rPr>
              <w:t>H</w:t>
            </w:r>
            <w:r>
              <w:rPr>
                <w:rFonts w:eastAsiaTheme="minorEastAsia"/>
                <w:b/>
                <w:bCs/>
                <w:lang w:val="sv-SE"/>
              </w:rPr>
              <w:t>andels-beteckning för Emittenten</w:t>
            </w:r>
            <w:r w:rsidRPr="00293B1F">
              <w:rPr>
                <w:b/>
                <w:bCs/>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pPr>
            <w:r w:rsidRPr="00293B1F">
              <w:t>Nordea</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rPr>
            </w:pPr>
            <w:r w:rsidRPr="00293B1F">
              <w:rPr>
                <w:b/>
                <w:bCs/>
              </w:rPr>
              <w:t>B.2</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Sä</w:t>
            </w:r>
            <w:r>
              <w:rPr>
                <w:rFonts w:eastAsiaTheme="minorEastAsia"/>
                <w:b/>
                <w:bCs/>
                <w:lang w:val="sv-SE"/>
              </w:rPr>
              <w:t>te och bolagsform för Emittenten</w:t>
            </w:r>
            <w:r w:rsidRPr="00293B1F">
              <w:rPr>
                <w:b/>
                <w:bCs/>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lang w:val="sv-SE"/>
              </w:rPr>
              <w:t>NBAB är ett publikt aktiebolag med org.nr 516406-0120. Huvudkontoret är i Stockholm på adressen: Smålandsgatan 17, 105 71 Stockholm. Den lagstiftning som NBAB huvudsakligen är föremål för är aktiebolagslagen (2005:551) och lagen (2004:297) om bank- och finansieringsrörelse.</w:t>
            </w:r>
            <w:r w:rsidRPr="00E44DA3">
              <w:rPr>
                <w:vertAlign w:val="superscript"/>
                <w:lang w:val="sv-SE"/>
              </w:rPr>
              <w:t>2</w:t>
            </w:r>
            <w:r w:rsidRPr="00293B1F">
              <w:rPr>
                <w:lang w:val="sv-SE"/>
              </w:rPr>
              <w:t xml:space="preserve">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lang w:val="sv-SE"/>
              </w:rPr>
            </w:pPr>
            <w:r w:rsidRPr="00293B1F">
              <w:rPr>
                <w:b/>
                <w:bCs/>
                <w:lang w:val="sv-SE"/>
              </w:rPr>
              <w:t>B.4b</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iCs/>
                <w:lang w:val="sv-SE"/>
              </w:rPr>
            </w:pPr>
            <w:r w:rsidRPr="00293B1F">
              <w:rPr>
                <w:rFonts w:eastAsiaTheme="minorEastAsia"/>
                <w:b/>
                <w:bCs/>
                <w:iCs/>
                <w:lang w:val="sv-SE"/>
              </w:rPr>
              <w:t>Kända trender</w:t>
            </w:r>
            <w:r w:rsidRPr="00293B1F">
              <w:rPr>
                <w:b/>
                <w:bCs/>
                <w:i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Ej tillämpligt. Det finns inga kända trender som påverkar Emittenten eller de marknader på vilka de</w:t>
            </w:r>
            <w:r>
              <w:rPr>
                <w:lang w:val="sv-SE"/>
              </w:rPr>
              <w:t>n agerar.</w:t>
            </w:r>
            <w:r w:rsidRPr="00E44DA3">
              <w:rPr>
                <w:vertAlign w:val="superscript"/>
                <w:lang w:val="sv-SE"/>
              </w:rPr>
              <w:t>2</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rPr>
            </w:pPr>
            <w:r w:rsidRPr="00293B1F">
              <w:rPr>
                <w:b/>
                <w:bCs/>
              </w:rPr>
              <w:t>B.5</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rPr>
            </w:pPr>
            <w:r w:rsidRPr="00293B1F">
              <w:rPr>
                <w:rFonts w:eastAsiaTheme="minorEastAsia"/>
                <w:b/>
                <w:bCs/>
                <w:lang w:val="sv-SE"/>
              </w:rPr>
              <w:t>Koncern-beskrivning</w:t>
            </w:r>
            <w:r w:rsidRPr="00293B1F">
              <w:rPr>
                <w:b/>
                <w:bCs/>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lang w:val="sv-SE"/>
              </w:rPr>
              <w:t>NBAB är moderbolag i Nordeakoncernen. Nordeakoncernen är en stor koncern med finansiella tjänster som huvudsaklig verksamhet och verkar på den nordiska marknaden (Danmark, Finland, Norge och Sverige), med ytterligare verksamhet i Ryssland, Baltikum och Luxemburg, samt med fili</w:t>
            </w:r>
            <w:r>
              <w:rPr>
                <w:lang w:val="sv-SE"/>
              </w:rPr>
              <w:t>aler på andra platser i världen</w:t>
            </w:r>
            <w:r w:rsidRPr="00293B1F">
              <w:rPr>
                <w:lang w:val="sv-SE"/>
              </w:rPr>
              <w:t xml:space="preserve">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7E03B0"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rFonts w:eastAsiaTheme="minorEastAsia"/>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Pr>
                <w:lang w:val="sv-SE"/>
              </w:rPr>
              <w:t xml:space="preserve">Som led i en förenkling av Nordeakoncernens legala struktur har NBAB:s </w:t>
            </w:r>
            <w:r w:rsidRPr="00ED7929">
              <w:rPr>
                <w:lang w:val="sv-SE"/>
              </w:rPr>
              <w:t xml:space="preserve">tre </w:t>
            </w:r>
            <w:r>
              <w:rPr>
                <w:lang w:val="sv-SE"/>
              </w:rPr>
              <w:t xml:space="preserve">viktiga </w:t>
            </w:r>
            <w:r w:rsidRPr="00ED7929">
              <w:rPr>
                <w:lang w:val="sv-SE"/>
              </w:rPr>
              <w:t>dotterföretag är Nordea Bank Danmark A/S i Danmark, NBF i Finland och Nordea Bank Norge ASA i Norge</w:t>
            </w:r>
            <w:r>
              <w:rPr>
                <w:lang w:val="sv-SE"/>
              </w:rPr>
              <w:t xml:space="preserve"> fusionerats upp i NBAB och blivit filialer till NBAB. NBF är därför inte längre en emittent under Programmet</w:t>
            </w:r>
            <w:r w:rsidRPr="00ED7929">
              <w:rPr>
                <w:lang w:val="sv-SE"/>
              </w:rPr>
              <w:t>.</w:t>
            </w:r>
            <w:r>
              <w:rPr>
                <w:rStyle w:val="FootnoteReference"/>
                <w:lang w:val="sv-SE"/>
              </w:rPr>
              <w:footnoteReference w:id="22"/>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Pr>
                <w:lang w:val="sv-SE"/>
              </w:rPr>
              <w:t>Per den 30 september 2016</w:t>
            </w:r>
            <w:r w:rsidRPr="00293B1F">
              <w:rPr>
                <w:lang w:val="sv-SE"/>
              </w:rPr>
              <w:t xml:space="preserve"> hade Nordeakoncernen totala tillgångar om </w:t>
            </w:r>
            <w:r>
              <w:rPr>
                <w:lang w:val="sv-SE"/>
              </w:rPr>
              <w:t>657 m</w:t>
            </w:r>
            <w:r w:rsidRPr="00293B1F">
              <w:rPr>
                <w:lang w:val="sv-SE"/>
              </w:rPr>
              <w:t xml:space="preserve">iljarder euro och ett primärkapital om </w:t>
            </w:r>
            <w:r>
              <w:rPr>
                <w:lang w:val="sv-SE"/>
              </w:rPr>
              <w:t>27.4 mil</w:t>
            </w:r>
            <w:r w:rsidRPr="00293B1F">
              <w:rPr>
                <w:lang w:val="sv-SE"/>
              </w:rPr>
              <w:t>jarder euro samt var den största kapitalförvaltaren baserad i Norde</w:t>
            </w:r>
            <w:r>
              <w:rPr>
                <w:lang w:val="sv-SE"/>
              </w:rPr>
              <w:t xml:space="preserve">n med ett förvaltat kapital om 317.4 </w:t>
            </w:r>
            <w:r w:rsidRPr="00293B1F">
              <w:rPr>
                <w:lang w:val="sv-SE"/>
              </w:rPr>
              <w:t>miljarder euro.</w:t>
            </w:r>
            <w:r>
              <w:rPr>
                <w:rStyle w:val="FootnoteReference"/>
                <w:lang w:val="sv-SE"/>
              </w:rPr>
              <w:footnoteReference w:id="23"/>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B.9</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Resultat-prognoser och resultat-uppskattningar</w:t>
            </w:r>
            <w:r w:rsidRPr="00293B1F">
              <w:rPr>
                <w:b/>
                <w:b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Pr>
                <w:lang w:val="sv-SE"/>
              </w:rPr>
              <w:t>Ej tillämpligt. Emittenten</w:t>
            </w:r>
            <w:r w:rsidRPr="00293B1F">
              <w:rPr>
                <w:lang w:val="sv-SE"/>
              </w:rPr>
              <w:t xml:space="preserve"> gör inte någon resultatprognos eller resultatuppskattning i Grundprospektet.</w:t>
            </w:r>
            <w:r>
              <w:rPr>
                <w:rStyle w:val="FootnoteReference"/>
                <w:lang w:val="sv-SE"/>
              </w:rPr>
              <w:footnoteReference w:id="24"/>
            </w:r>
            <w:r w:rsidRPr="00293B1F">
              <w:rPr>
                <w:lang w:val="sv-SE"/>
              </w:rPr>
              <w:t xml:space="preserve">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B.10</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rPr>
            </w:pPr>
            <w:r w:rsidRPr="00293B1F">
              <w:rPr>
                <w:rFonts w:eastAsiaTheme="minorEastAsia"/>
                <w:b/>
                <w:bCs/>
                <w:lang w:val="sv-SE"/>
              </w:rPr>
              <w:t>Eventuella anmärkningar i revisionsberättelsen</w:t>
            </w:r>
            <w:r w:rsidRPr="00293B1F">
              <w:rPr>
                <w:b/>
                <w:bCs/>
              </w:rPr>
              <w:t xml:space="preserve">: </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Ej tillämpligt. Det finns</w:t>
            </w:r>
            <w:r>
              <w:rPr>
                <w:lang w:val="sv-SE"/>
              </w:rPr>
              <w:t xml:space="preserve"> inga anmärkningar i Emittenten</w:t>
            </w:r>
            <w:r w:rsidRPr="00293B1F">
              <w:rPr>
                <w:lang w:val="sv-SE"/>
              </w:rPr>
              <w:t xml:space="preserve">s revisionsberättelser.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rPr>
            </w:pPr>
            <w:r w:rsidRPr="00293B1F">
              <w:rPr>
                <w:b/>
                <w:bCs/>
              </w:rPr>
              <w:t>B.12</w:t>
            </w:r>
          </w:p>
        </w:tc>
        <w:tc>
          <w:tcPr>
            <w:tcW w:w="951" w:type="pct"/>
            <w:tcBorders>
              <w:top w:val="single" w:sz="4" w:space="0" w:color="auto"/>
              <w:left w:val="single" w:sz="4" w:space="0" w:color="auto"/>
              <w:right w:val="single" w:sz="4" w:space="0" w:color="auto"/>
            </w:tcBorders>
          </w:tcPr>
          <w:p w:rsidR="00E55762" w:rsidRPr="00293B1F" w:rsidP="003722D9">
            <w:pPr>
              <w:pStyle w:val="Tablerow"/>
              <w:tabs>
                <w:tab w:val="right" w:leader="dot" w:pos="4115"/>
                <w:tab w:val="clear" w:pos="6300"/>
              </w:tabs>
              <w:rPr>
                <w:b/>
                <w:sz w:val="20"/>
                <w:szCs w:val="20"/>
              </w:rPr>
            </w:pPr>
            <w:r w:rsidRPr="00293B1F">
              <w:rPr>
                <w:rFonts w:eastAsiaTheme="minorEastAsia"/>
                <w:b/>
                <w:sz w:val="20"/>
              </w:rPr>
              <w:t>Utvald central finansiell information:</w:t>
            </w:r>
          </w:p>
        </w:tc>
        <w:tc>
          <w:tcPr>
            <w:tcW w:w="3661" w:type="pct"/>
            <w:tcBorders>
              <w:top w:val="single" w:sz="4" w:space="0" w:color="auto"/>
              <w:left w:val="single" w:sz="4" w:space="0" w:color="auto"/>
              <w:right w:val="single" w:sz="4" w:space="0" w:color="auto"/>
            </w:tcBorders>
          </w:tcPr>
          <w:p w:rsidR="00E55762" w:rsidRPr="00293B1F" w:rsidP="003722D9">
            <w:pPr>
              <w:pStyle w:val="BodyText"/>
              <w:keepNext/>
              <w:rPr>
                <w:lang w:val="sv-SE"/>
              </w:rPr>
            </w:pPr>
            <w:r w:rsidRPr="00293B1F">
              <w:rPr>
                <w:lang w:val="sv-SE"/>
              </w:rPr>
              <w:t>Tabellerna nedan visar viss utvald finansiell information i sammandrag som, utan väsentliga ändringar, har hämtats från, och måste läsa</w:t>
            </w:r>
            <w:r>
              <w:rPr>
                <w:lang w:val="sv-SE"/>
              </w:rPr>
              <w:t>s tillsammans med, Emittentens reviderade årsredovisning</w:t>
            </w:r>
            <w:r w:rsidRPr="00293B1F">
              <w:rPr>
                <w:lang w:val="sv-SE"/>
              </w:rPr>
              <w:t xml:space="preserve"> för räkenskapsåret som avslutades den 31 december 2015 samt revisionsberättelsen och noterna till densamma som återfinns i Bilagan till detta Grundprospekt samt</w:t>
            </w:r>
            <w:r>
              <w:rPr>
                <w:lang w:val="sv-SE"/>
              </w:rPr>
              <w:t xml:space="preserve"> Emittentens oreviderade kvartalsrapport avseende för </w:t>
            </w:r>
            <w:r w:rsidRPr="008A4EB1">
              <w:rPr>
                <w:lang w:val="sv-SE"/>
              </w:rPr>
              <w:t>de nio månader som slutar 30</w:t>
            </w:r>
            <w:r>
              <w:rPr>
                <w:lang w:val="sv-SE"/>
              </w:rPr>
              <w:t xml:space="preserve"> september 2016 som återfinns i </w:t>
            </w:r>
            <w:r w:rsidRPr="001B7216">
              <w:rPr>
                <w:lang w:val="sv-SE"/>
              </w:rPr>
              <w:t>Bilagan till detta Tilläggsprospekt.</w:t>
            </w:r>
          </w:p>
          <w:p w:rsidR="00E55762" w:rsidRPr="00293B1F" w:rsidP="003722D9">
            <w:pPr>
              <w:pStyle w:val="BodyText"/>
              <w:keepNext/>
              <w:rPr>
                <w:lang w:val="sv-SE"/>
              </w:rPr>
            </w:pPr>
            <w:r w:rsidRPr="00293B1F">
              <w:rPr>
                <w:lang w:val="sv-SE"/>
              </w:rPr>
              <w:t xml:space="preserve">Utvald finansiell information för NBAB-koncernen: </w:t>
            </w:r>
          </w:p>
        </w:tc>
      </w:tr>
      <w:tr w:rsidTr="003722D9">
        <w:tblPrEx>
          <w:tblW w:w="5000" w:type="pct"/>
          <w:tblLayout w:type="fixed"/>
          <w:tblLook w:val="0000"/>
        </w:tblPrEx>
        <w:trPr>
          <w:cantSplit/>
          <w:trHeight w:val="4731"/>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Tablerow"/>
              <w:keepNext w:val="0"/>
              <w:tabs>
                <w:tab w:val="right" w:leader="dot" w:pos="4115"/>
                <w:tab w:val="clear" w:pos="6300"/>
              </w:tabs>
              <w:rPr>
                <w:b/>
                <w:sz w:val="20"/>
                <w:szCs w:val="20"/>
                <w:lang w:val="sv-SE"/>
              </w:rPr>
            </w:pPr>
          </w:p>
        </w:tc>
        <w:tc>
          <w:tcPr>
            <w:tcW w:w="3661" w:type="pct"/>
            <w:tcBorders>
              <w:left w:val="single" w:sz="4" w:space="0" w:color="auto"/>
              <w:right w:val="single" w:sz="4" w:space="0" w:color="auto"/>
            </w:tcBorders>
          </w:tcPr>
          <w:tbl>
            <w:tblPr>
              <w:tblStyle w:val="TableGrid"/>
              <w:tblW w:w="6102" w:type="dxa"/>
              <w:tblBorders>
                <w:top w:val="nil"/>
                <w:left w:val="nil"/>
                <w:bottom w:val="nil"/>
                <w:right w:val="nil"/>
                <w:insideH w:val="nil"/>
                <w:insideV w:val="nil"/>
              </w:tblBorders>
              <w:tblLayout w:type="fixed"/>
              <w:tblLook w:val="04A0"/>
            </w:tblPr>
            <w:tblGrid>
              <w:gridCol w:w="2453"/>
              <w:gridCol w:w="992"/>
              <w:gridCol w:w="993"/>
              <w:gridCol w:w="813"/>
              <w:gridCol w:w="851"/>
            </w:tblGrid>
            <w:tr w:rsidTr="003722D9">
              <w:tblPrEx>
                <w:tblW w:w="6102" w:type="dxa"/>
                <w:tblBorders>
                  <w:top w:val="nil"/>
                  <w:left w:val="nil"/>
                  <w:bottom w:val="nil"/>
                  <w:right w:val="nil"/>
                  <w:insideH w:val="nil"/>
                  <w:insideV w:val="nil"/>
                </w:tblBorders>
                <w:tblLayout w:type="fixed"/>
                <w:tblLook w:val="04A0"/>
              </w:tblPrEx>
              <w:tc>
                <w:tcPr>
                  <w:tcW w:w="2453" w:type="dxa"/>
                </w:tcPr>
                <w:p w:rsidR="00E55762" w:rsidRPr="00293B1F" w:rsidP="003722D9">
                  <w:pPr>
                    <w:pStyle w:val="Tableheaderrow"/>
                    <w:keepNext w:val="0"/>
                    <w:tabs>
                      <w:tab w:val="clear" w:pos="4140"/>
                    </w:tabs>
                    <w:spacing w:after="120"/>
                    <w:rPr>
                      <w:rFonts w:ascii="Times New Roman" w:hAnsi="Times New Roman" w:cs="Times New Roman"/>
                      <w:szCs w:val="16"/>
                      <w:lang w:val="sv-SE"/>
                    </w:rPr>
                  </w:pPr>
                </w:p>
              </w:tc>
              <w:tc>
                <w:tcPr>
                  <w:tcW w:w="1985" w:type="dxa"/>
                  <w:gridSpan w:val="2"/>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sidRPr="00B962F0">
                    <w:rPr>
                      <w:rFonts w:ascii="Times New Roman" w:hAnsi="Times New Roman" w:cs="Times New Roman"/>
                      <w:szCs w:val="16"/>
                      <w:lang w:val="sv-SE"/>
                    </w:rPr>
                    <w:t>Årsslut per 31 december</w:t>
                  </w:r>
                </w:p>
              </w:tc>
              <w:tc>
                <w:tcPr>
                  <w:tcW w:w="1664" w:type="dxa"/>
                  <w:gridSpan w:val="2"/>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Pr>
                      <w:rFonts w:ascii="Times New Roman" w:hAnsi="Times New Roman" w:cs="Times New Roman"/>
                      <w:szCs w:val="16"/>
                      <w:lang w:val="sv-SE"/>
                    </w:rPr>
                    <w:t>Nio</w:t>
                  </w:r>
                  <w:r w:rsidRPr="00B962F0">
                    <w:rPr>
                      <w:rFonts w:ascii="Times New Roman" w:hAnsi="Times New Roman" w:cs="Times New Roman"/>
                      <w:szCs w:val="16"/>
                      <w:lang w:val="sv-SE"/>
                    </w:rPr>
                    <w:t xml:space="preserve"> månader per </w:t>
                  </w:r>
                  <w:r>
                    <w:rPr>
                      <w:rFonts w:ascii="Times New Roman" w:hAnsi="Times New Roman" w:cs="Times New Roman"/>
                      <w:szCs w:val="16"/>
                      <w:lang w:val="sv-SE"/>
                    </w:rPr>
                    <w:t>30</w:t>
                  </w:r>
                  <w:r w:rsidRPr="00B962F0">
                    <w:rPr>
                      <w:rFonts w:ascii="Times New Roman" w:hAnsi="Times New Roman" w:cs="Times New Roman"/>
                      <w:szCs w:val="16"/>
                      <w:lang w:val="sv-SE"/>
                    </w:rPr>
                    <w:t xml:space="preserve"> </w:t>
                  </w:r>
                  <w:r>
                    <w:rPr>
                      <w:rFonts w:ascii="Times New Roman" w:hAnsi="Times New Roman" w:cs="Times New Roman"/>
                      <w:szCs w:val="16"/>
                      <w:lang w:val="sv-SE"/>
                    </w:rPr>
                    <w:t>september</w:t>
                  </w:r>
                </w:p>
              </w:tc>
            </w:tr>
            <w:tr w:rsidTr="003722D9">
              <w:tblPrEx>
                <w:tblW w:w="6102" w:type="dxa"/>
                <w:tblLayout w:type="fixed"/>
                <w:tblLook w:val="04A0"/>
              </w:tblPrEx>
              <w:trPr>
                <w:trHeight w:val="351"/>
              </w:trPr>
              <w:tc>
                <w:tcPr>
                  <w:tcW w:w="2453" w:type="dxa"/>
                </w:tcPr>
                <w:p w:rsidR="00E55762" w:rsidRPr="00B962F0" w:rsidP="003722D9">
                  <w:pPr>
                    <w:pStyle w:val="Tableheaderrow"/>
                    <w:keepNext w:val="0"/>
                    <w:tabs>
                      <w:tab w:val="clear" w:pos="4140"/>
                    </w:tabs>
                    <w:spacing w:after="120"/>
                    <w:rPr>
                      <w:rFonts w:ascii="Times New Roman" w:hAnsi="Times New Roman" w:cs="Times New Roman"/>
                      <w:szCs w:val="16"/>
                      <w:lang w:val="sv-SE"/>
                    </w:rPr>
                  </w:pPr>
                </w:p>
              </w:tc>
              <w:tc>
                <w:tcPr>
                  <w:tcW w:w="992" w:type="dxa"/>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sidRPr="00B962F0">
                    <w:rPr>
                      <w:rFonts w:ascii="Times New Roman" w:hAnsi="Times New Roman" w:cs="Times New Roman"/>
                      <w:szCs w:val="16"/>
                      <w:lang w:val="sv-SE"/>
                    </w:rPr>
                    <w:t>2015</w:t>
                  </w:r>
                </w:p>
              </w:tc>
              <w:tc>
                <w:tcPr>
                  <w:tcW w:w="993" w:type="dxa"/>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sidRPr="00B962F0">
                    <w:rPr>
                      <w:rFonts w:ascii="Times New Roman" w:hAnsi="Times New Roman" w:cs="Times New Roman"/>
                      <w:szCs w:val="16"/>
                      <w:lang w:val="sv-SE"/>
                    </w:rPr>
                    <w:t>2014</w:t>
                  </w:r>
                </w:p>
              </w:tc>
              <w:tc>
                <w:tcPr>
                  <w:tcW w:w="813" w:type="dxa"/>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sidRPr="00B962F0">
                    <w:rPr>
                      <w:rFonts w:ascii="Times New Roman" w:hAnsi="Times New Roman" w:cs="Times New Roman"/>
                      <w:szCs w:val="16"/>
                      <w:lang w:val="sv-SE"/>
                    </w:rPr>
                    <w:t>2016</w:t>
                  </w:r>
                </w:p>
              </w:tc>
              <w:tc>
                <w:tcPr>
                  <w:tcW w:w="851" w:type="dxa"/>
                </w:tcPr>
                <w:p w:rsidR="00E55762" w:rsidRPr="00B962F0" w:rsidP="003722D9">
                  <w:pPr>
                    <w:pStyle w:val="Tableheaderrow"/>
                    <w:keepNext w:val="0"/>
                    <w:pBdr>
                      <w:bottom w:val="single" w:sz="4" w:space="1" w:color="auto"/>
                    </w:pBdr>
                    <w:tabs>
                      <w:tab w:val="clear" w:pos="4140"/>
                    </w:tabs>
                    <w:spacing w:after="120"/>
                    <w:rPr>
                      <w:rFonts w:ascii="Times New Roman" w:hAnsi="Times New Roman" w:cs="Times New Roman"/>
                      <w:szCs w:val="16"/>
                      <w:lang w:val="sv-SE"/>
                    </w:rPr>
                  </w:pPr>
                  <w:r w:rsidRPr="00B962F0">
                    <w:rPr>
                      <w:rFonts w:ascii="Times New Roman" w:hAnsi="Times New Roman" w:cs="Times New Roman"/>
                      <w:szCs w:val="16"/>
                      <w:lang w:val="sv-SE"/>
                    </w:rPr>
                    <w:t>2015</w:t>
                  </w:r>
                </w:p>
              </w:tc>
            </w:tr>
            <w:tr w:rsidTr="003722D9">
              <w:tblPrEx>
                <w:tblW w:w="6102" w:type="dxa"/>
                <w:tblLayout w:type="fixed"/>
                <w:tblLook w:val="04A0"/>
              </w:tblPrEx>
              <w:tc>
                <w:tcPr>
                  <w:tcW w:w="2453" w:type="dxa"/>
                  <w:vAlign w:val="bottom"/>
                </w:tcPr>
                <w:p w:rsidR="00E55762" w:rsidRPr="00B962F0" w:rsidP="003722D9">
                  <w:pPr>
                    <w:pStyle w:val="TableMiddleRows"/>
                    <w:tabs>
                      <w:tab w:val="clear" w:pos="4140"/>
                      <w:tab w:val="right" w:leader="dot" w:pos="6493"/>
                    </w:tabs>
                    <w:jc w:val="left"/>
                    <w:rPr>
                      <w:rFonts w:cs="Times New Roman"/>
                      <w:b/>
                      <w:bCs/>
                      <w:iCs w:val="0"/>
                      <w:szCs w:val="16"/>
                      <w:lang w:val="sv-SE"/>
                    </w:rPr>
                  </w:pPr>
                </w:p>
              </w:tc>
              <w:tc>
                <w:tcPr>
                  <w:tcW w:w="3649" w:type="dxa"/>
                  <w:gridSpan w:val="4"/>
                </w:tcPr>
                <w:p w:rsidR="00E55762" w:rsidRPr="00B962F0" w:rsidP="003722D9">
                  <w:pPr>
                    <w:pStyle w:val="TableMiddleRows"/>
                    <w:tabs>
                      <w:tab w:val="clear" w:pos="4140"/>
                      <w:tab w:val="right" w:leader="dot" w:pos="6493"/>
                    </w:tabs>
                    <w:jc w:val="center"/>
                    <w:rPr>
                      <w:rFonts w:cs="Times New Roman"/>
                      <w:i/>
                      <w:szCs w:val="16"/>
                      <w:lang w:val="sv-SE"/>
                    </w:rPr>
                  </w:pPr>
                  <w:r w:rsidRPr="00B962F0">
                    <w:rPr>
                      <w:rFonts w:cs="Times New Roman"/>
                      <w:i/>
                      <w:szCs w:val="16"/>
                      <w:lang w:val="sv-SE"/>
                    </w:rPr>
                    <w:t>(miljoner EUR)</w:t>
                  </w:r>
                </w:p>
              </w:tc>
            </w:tr>
            <w:tr w:rsidTr="003722D9">
              <w:tblPrEx>
                <w:tblW w:w="6102" w:type="dxa"/>
                <w:tblLayout w:type="fixed"/>
                <w:tblLook w:val="04A0"/>
              </w:tblPrEx>
              <w:tc>
                <w:tcPr>
                  <w:tcW w:w="2453" w:type="dxa"/>
                  <w:vAlign w:val="bottom"/>
                </w:tcPr>
                <w:p w:rsidR="00E55762" w:rsidRPr="00B962F0" w:rsidP="003722D9">
                  <w:pPr>
                    <w:pStyle w:val="TableMiddleRows"/>
                    <w:tabs>
                      <w:tab w:val="clear" w:pos="4140"/>
                      <w:tab w:val="right" w:leader="dot" w:pos="6493"/>
                    </w:tabs>
                    <w:jc w:val="left"/>
                    <w:rPr>
                      <w:rFonts w:cs="Times New Roman"/>
                      <w:iCs w:val="0"/>
                      <w:szCs w:val="16"/>
                      <w:lang w:val="sv-SE"/>
                    </w:rPr>
                  </w:pPr>
                  <w:r w:rsidRPr="00B962F0">
                    <w:rPr>
                      <w:rFonts w:cs="Times New Roman"/>
                      <w:b/>
                      <w:bCs/>
                      <w:iCs w:val="0"/>
                      <w:szCs w:val="16"/>
                      <w:lang w:val="sv-SE"/>
                    </w:rPr>
                    <w:t>Resultaträkning</w:t>
                  </w:r>
                </w:p>
              </w:tc>
              <w:tc>
                <w:tcPr>
                  <w:tcW w:w="992" w:type="dxa"/>
                </w:tcPr>
                <w:p w:rsidR="00E55762" w:rsidRPr="00B962F0" w:rsidP="003722D9">
                  <w:pPr>
                    <w:pStyle w:val="TableMiddleRows"/>
                    <w:jc w:val="right"/>
                    <w:rPr>
                      <w:lang w:val="sv-SE"/>
                    </w:rPr>
                  </w:pPr>
                </w:p>
              </w:tc>
              <w:tc>
                <w:tcPr>
                  <w:tcW w:w="993" w:type="dxa"/>
                </w:tcPr>
                <w:p w:rsidR="00E55762" w:rsidRPr="00B962F0" w:rsidP="003722D9">
                  <w:pPr>
                    <w:pStyle w:val="TableMiddleRows"/>
                    <w:jc w:val="right"/>
                    <w:rPr>
                      <w:lang w:val="sv-SE"/>
                    </w:rPr>
                  </w:pPr>
                </w:p>
              </w:tc>
              <w:tc>
                <w:tcPr>
                  <w:tcW w:w="813" w:type="dxa"/>
                </w:tcPr>
                <w:p w:rsidR="00E55762" w:rsidRPr="00B962F0" w:rsidP="003722D9">
                  <w:pPr>
                    <w:pStyle w:val="TableMiddleRows"/>
                    <w:jc w:val="right"/>
                    <w:rPr>
                      <w:lang w:val="sv-SE"/>
                    </w:rPr>
                  </w:pPr>
                </w:p>
              </w:tc>
              <w:tc>
                <w:tcPr>
                  <w:tcW w:w="851" w:type="dxa"/>
                </w:tcPr>
                <w:p w:rsidR="00E55762" w:rsidRPr="00B962F0" w:rsidP="003722D9">
                  <w:pPr>
                    <w:pStyle w:val="TableMiddleRows"/>
                    <w:jc w:val="right"/>
                    <w:rPr>
                      <w:lang w:val="sv-SE"/>
                    </w:rPr>
                  </w:pP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B962F0">
                    <w:rPr>
                      <w:rFonts w:cs="Times New Roman"/>
                      <w:iCs w:val="0"/>
                      <w:szCs w:val="16"/>
                      <w:lang w:val="sv-SE"/>
                    </w:rPr>
                    <w:t>Summa rörelsei</w:t>
                  </w:r>
                  <w:r w:rsidRPr="00293B1F">
                    <w:rPr>
                      <w:rFonts w:cs="Times New Roman"/>
                      <w:iCs w:val="0"/>
                      <w:szCs w:val="16"/>
                    </w:rPr>
                    <w:t>ntäkter</w:t>
                  </w:r>
                  <w:r w:rsidRPr="00293B1F">
                    <w:rPr>
                      <w:rFonts w:cs="Times New Roman"/>
                      <w:iCs w:val="0"/>
                      <w:szCs w:val="16"/>
                    </w:rPr>
                    <w:tab/>
                  </w:r>
                </w:p>
              </w:tc>
              <w:tc>
                <w:tcPr>
                  <w:tcW w:w="992" w:type="dxa"/>
                </w:tcPr>
                <w:p w:rsidR="00E55762" w:rsidRPr="00293B1F" w:rsidP="003722D9">
                  <w:pPr>
                    <w:pStyle w:val="TableMiddleRows"/>
                    <w:jc w:val="right"/>
                  </w:pPr>
                  <w:r w:rsidRPr="00293B1F">
                    <w:t>10 140</w:t>
                  </w:r>
                </w:p>
              </w:tc>
              <w:tc>
                <w:tcPr>
                  <w:tcW w:w="993" w:type="dxa"/>
                </w:tcPr>
                <w:p w:rsidR="00E55762" w:rsidRPr="00293B1F" w:rsidP="003722D9">
                  <w:pPr>
                    <w:pStyle w:val="TableMiddleRows"/>
                    <w:jc w:val="right"/>
                  </w:pPr>
                  <w:r w:rsidRPr="00293B1F">
                    <w:t>10 241</w:t>
                  </w:r>
                </w:p>
              </w:tc>
              <w:tc>
                <w:tcPr>
                  <w:tcW w:w="813" w:type="dxa"/>
                </w:tcPr>
                <w:p w:rsidR="00E55762" w:rsidRPr="00293B1F" w:rsidP="003722D9">
                  <w:pPr>
                    <w:pStyle w:val="TableMiddleRows"/>
                    <w:jc w:val="right"/>
                  </w:pPr>
                  <w:r>
                    <w:t>7 317</w:t>
                  </w:r>
                </w:p>
              </w:tc>
              <w:tc>
                <w:tcPr>
                  <w:tcW w:w="851" w:type="dxa"/>
                </w:tcPr>
                <w:p w:rsidR="00E55762" w:rsidRPr="00293B1F" w:rsidP="003722D9">
                  <w:pPr>
                    <w:pStyle w:val="TableMiddleRows"/>
                    <w:jc w:val="right"/>
                  </w:pPr>
                  <w:r>
                    <w:t>7 495</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Kreditförluster, netto</w:t>
                  </w:r>
                  <w:r w:rsidRPr="00293B1F">
                    <w:rPr>
                      <w:rFonts w:cs="Times New Roman"/>
                      <w:iCs w:val="0"/>
                      <w:szCs w:val="16"/>
                    </w:rPr>
                    <w:tab/>
                    <w:t>-933</w:t>
                  </w:r>
                  <w:r w:rsidRPr="00293B1F">
                    <w:rPr>
                      <w:rFonts w:cs="Times New Roman"/>
                      <w:iCs w:val="0"/>
                      <w:szCs w:val="16"/>
                    </w:rPr>
                    <w:tab/>
                    <w:t>-735</w:t>
                  </w:r>
                </w:p>
              </w:tc>
              <w:tc>
                <w:tcPr>
                  <w:tcW w:w="992" w:type="dxa"/>
                </w:tcPr>
                <w:p w:rsidR="00E55762" w:rsidRPr="00293B1F" w:rsidP="003722D9">
                  <w:pPr>
                    <w:pStyle w:val="TableMiddleRows"/>
                    <w:jc w:val="right"/>
                  </w:pPr>
                  <w:r w:rsidRPr="00293B1F">
                    <w:t>-479</w:t>
                  </w:r>
                </w:p>
              </w:tc>
              <w:tc>
                <w:tcPr>
                  <w:tcW w:w="993" w:type="dxa"/>
                </w:tcPr>
                <w:p w:rsidR="00E55762" w:rsidRPr="00293B1F" w:rsidP="003722D9">
                  <w:pPr>
                    <w:pStyle w:val="TableMiddleRows"/>
                    <w:jc w:val="right"/>
                  </w:pPr>
                  <w:r w:rsidRPr="00293B1F">
                    <w:t>-534</w:t>
                  </w:r>
                </w:p>
              </w:tc>
              <w:tc>
                <w:tcPr>
                  <w:tcW w:w="813" w:type="dxa"/>
                </w:tcPr>
                <w:p w:rsidR="00E55762" w:rsidRPr="00293B1F" w:rsidP="003722D9">
                  <w:pPr>
                    <w:pStyle w:val="TableMiddleRows"/>
                    <w:jc w:val="right"/>
                  </w:pPr>
                  <w:r>
                    <w:t>-373</w:t>
                  </w:r>
                </w:p>
              </w:tc>
              <w:tc>
                <w:tcPr>
                  <w:tcW w:w="851" w:type="dxa"/>
                </w:tcPr>
                <w:p w:rsidR="00E55762" w:rsidRPr="00293B1F" w:rsidP="003722D9">
                  <w:pPr>
                    <w:pStyle w:val="TableMiddleRows"/>
                    <w:jc w:val="right"/>
                  </w:pPr>
                  <w:r w:rsidRPr="00293B1F">
                    <w:t>-</w:t>
                  </w:r>
                  <w:r>
                    <w:t>373</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Årets resultat</w:t>
                  </w:r>
                  <w:r w:rsidRPr="00293B1F">
                    <w:rPr>
                      <w:rFonts w:cs="Times New Roman"/>
                      <w:iCs w:val="0"/>
                      <w:szCs w:val="16"/>
                    </w:rPr>
                    <w:tab/>
                  </w:r>
                </w:p>
              </w:tc>
              <w:tc>
                <w:tcPr>
                  <w:tcW w:w="992" w:type="dxa"/>
                </w:tcPr>
                <w:p w:rsidR="00E55762" w:rsidRPr="00293B1F" w:rsidP="003722D9">
                  <w:pPr>
                    <w:pStyle w:val="TableMiddleRows"/>
                    <w:jc w:val="right"/>
                  </w:pPr>
                  <w:r w:rsidRPr="00293B1F">
                    <w:t>3 662</w:t>
                  </w:r>
                </w:p>
              </w:tc>
              <w:tc>
                <w:tcPr>
                  <w:tcW w:w="993" w:type="dxa"/>
                </w:tcPr>
                <w:p w:rsidR="00E55762" w:rsidRPr="00293B1F" w:rsidP="003722D9">
                  <w:pPr>
                    <w:pStyle w:val="TableMiddleRows"/>
                    <w:jc w:val="right"/>
                  </w:pPr>
                  <w:r w:rsidRPr="00293B1F">
                    <w:t>3 332</w:t>
                  </w:r>
                </w:p>
              </w:tc>
              <w:tc>
                <w:tcPr>
                  <w:tcW w:w="813" w:type="dxa"/>
                </w:tcPr>
                <w:p w:rsidR="00E55762" w:rsidRPr="00293B1F" w:rsidP="003722D9">
                  <w:pPr>
                    <w:pStyle w:val="TableMiddleRows"/>
                    <w:jc w:val="right"/>
                  </w:pPr>
                  <w:r>
                    <w:t>2 666</w:t>
                  </w:r>
                </w:p>
              </w:tc>
              <w:tc>
                <w:tcPr>
                  <w:tcW w:w="851" w:type="dxa"/>
                </w:tcPr>
                <w:p w:rsidR="00E55762" w:rsidRPr="00293B1F" w:rsidP="003722D9">
                  <w:pPr>
                    <w:pStyle w:val="TableMiddleRows"/>
                    <w:jc w:val="right"/>
                  </w:pPr>
                  <w:r>
                    <w:t>2 814</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b/>
                      <w:bCs/>
                      <w:iCs w:val="0"/>
                      <w:szCs w:val="16"/>
                    </w:rPr>
                  </w:pPr>
                  <w:r w:rsidRPr="00293B1F">
                    <w:rPr>
                      <w:rFonts w:cs="Times New Roman"/>
                      <w:b/>
                      <w:bCs/>
                      <w:iCs w:val="0"/>
                      <w:szCs w:val="16"/>
                    </w:rPr>
                    <w:t xml:space="preserve"> </w:t>
                  </w:r>
                </w:p>
              </w:tc>
              <w:tc>
                <w:tcPr>
                  <w:tcW w:w="992" w:type="dxa"/>
                </w:tcPr>
                <w:p w:rsidR="00E55762" w:rsidRPr="00293B1F" w:rsidP="003722D9">
                  <w:pPr>
                    <w:pStyle w:val="TableMiddleRows"/>
                    <w:jc w:val="right"/>
                  </w:pPr>
                </w:p>
              </w:tc>
              <w:tc>
                <w:tcPr>
                  <w:tcW w:w="993" w:type="dxa"/>
                </w:tcPr>
                <w:p w:rsidR="00E55762" w:rsidRPr="00293B1F" w:rsidP="003722D9">
                  <w:pPr>
                    <w:pStyle w:val="TableMiddleRows"/>
                    <w:jc w:val="right"/>
                  </w:pPr>
                </w:p>
              </w:tc>
              <w:tc>
                <w:tcPr>
                  <w:tcW w:w="813" w:type="dxa"/>
                </w:tcPr>
                <w:p w:rsidR="00E55762" w:rsidRPr="00293B1F" w:rsidP="003722D9">
                  <w:pPr>
                    <w:pStyle w:val="TableMiddleRows"/>
                    <w:jc w:val="right"/>
                  </w:pPr>
                </w:p>
              </w:tc>
              <w:tc>
                <w:tcPr>
                  <w:tcW w:w="851" w:type="dxa"/>
                </w:tcPr>
                <w:p w:rsidR="00E55762" w:rsidRPr="00293B1F" w:rsidP="003722D9">
                  <w:pPr>
                    <w:pStyle w:val="TableMiddleRows"/>
                    <w:jc w:val="right"/>
                  </w:pP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b/>
                      <w:bCs/>
                      <w:iCs w:val="0"/>
                      <w:szCs w:val="16"/>
                    </w:rPr>
                  </w:pPr>
                  <w:r w:rsidRPr="00293B1F">
                    <w:rPr>
                      <w:rFonts w:cs="Times New Roman"/>
                      <w:b/>
                      <w:bCs/>
                      <w:iCs w:val="0"/>
                      <w:szCs w:val="16"/>
                    </w:rPr>
                    <w:t>Balansräkning</w:t>
                  </w:r>
                </w:p>
              </w:tc>
              <w:tc>
                <w:tcPr>
                  <w:tcW w:w="992" w:type="dxa"/>
                </w:tcPr>
                <w:p w:rsidR="00E55762" w:rsidRPr="00293B1F" w:rsidP="003722D9">
                  <w:pPr>
                    <w:pStyle w:val="TableMiddleRows"/>
                    <w:jc w:val="right"/>
                  </w:pPr>
                </w:p>
              </w:tc>
              <w:tc>
                <w:tcPr>
                  <w:tcW w:w="993" w:type="dxa"/>
                </w:tcPr>
                <w:p w:rsidR="00E55762" w:rsidRPr="00293B1F" w:rsidP="003722D9">
                  <w:pPr>
                    <w:pStyle w:val="TableMiddleRows"/>
                    <w:jc w:val="right"/>
                  </w:pPr>
                </w:p>
              </w:tc>
              <w:tc>
                <w:tcPr>
                  <w:tcW w:w="813" w:type="dxa"/>
                </w:tcPr>
                <w:p w:rsidR="00E55762" w:rsidRPr="00293B1F" w:rsidP="003722D9">
                  <w:pPr>
                    <w:pStyle w:val="TableMiddleRows"/>
                    <w:jc w:val="right"/>
                  </w:pPr>
                </w:p>
              </w:tc>
              <w:tc>
                <w:tcPr>
                  <w:tcW w:w="851" w:type="dxa"/>
                </w:tcPr>
                <w:p w:rsidR="00E55762" w:rsidRPr="00293B1F" w:rsidP="003722D9">
                  <w:pPr>
                    <w:pStyle w:val="TableMiddleRows"/>
                    <w:jc w:val="right"/>
                  </w:pP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Summa tillgångar</w:t>
                  </w:r>
                  <w:r w:rsidRPr="00293B1F">
                    <w:rPr>
                      <w:rFonts w:cs="Times New Roman"/>
                      <w:iCs w:val="0"/>
                      <w:szCs w:val="16"/>
                    </w:rPr>
                    <w:tab/>
                  </w:r>
                </w:p>
              </w:tc>
              <w:tc>
                <w:tcPr>
                  <w:tcW w:w="992" w:type="dxa"/>
                </w:tcPr>
                <w:p w:rsidR="00E55762" w:rsidRPr="00293B1F" w:rsidP="003722D9">
                  <w:pPr>
                    <w:pStyle w:val="TableMiddleRows"/>
                    <w:jc w:val="right"/>
                  </w:pPr>
                  <w:r w:rsidRPr="00293B1F">
                    <w:t>646 868</w:t>
                  </w:r>
                </w:p>
              </w:tc>
              <w:tc>
                <w:tcPr>
                  <w:tcW w:w="993" w:type="dxa"/>
                </w:tcPr>
                <w:p w:rsidR="00E55762" w:rsidRPr="00293B1F" w:rsidP="003722D9">
                  <w:pPr>
                    <w:pStyle w:val="TableMiddleRows"/>
                    <w:jc w:val="right"/>
                  </w:pPr>
                  <w:r w:rsidRPr="00293B1F">
                    <w:t>669 342</w:t>
                  </w:r>
                </w:p>
              </w:tc>
              <w:tc>
                <w:tcPr>
                  <w:tcW w:w="813" w:type="dxa"/>
                </w:tcPr>
                <w:p w:rsidR="00E55762" w:rsidRPr="00293B1F" w:rsidP="003722D9">
                  <w:pPr>
                    <w:pStyle w:val="TableMiddleRows"/>
                    <w:jc w:val="right"/>
                  </w:pPr>
                  <w:r>
                    <w:t>657 190</w:t>
                  </w:r>
                </w:p>
              </w:tc>
              <w:tc>
                <w:tcPr>
                  <w:tcW w:w="851" w:type="dxa"/>
                </w:tcPr>
                <w:p w:rsidR="00E55762" w:rsidRPr="00293B1F" w:rsidP="003722D9">
                  <w:pPr>
                    <w:pStyle w:val="TableMiddleRows"/>
                    <w:jc w:val="right"/>
                  </w:pPr>
                  <w:r>
                    <w:t>679 877</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Summa skulder</w:t>
                  </w:r>
                  <w:r w:rsidRPr="00293B1F">
                    <w:rPr>
                      <w:rFonts w:cs="Times New Roman"/>
                      <w:iCs w:val="0"/>
                      <w:szCs w:val="16"/>
                    </w:rPr>
                    <w:tab/>
                  </w:r>
                </w:p>
              </w:tc>
              <w:tc>
                <w:tcPr>
                  <w:tcW w:w="992" w:type="dxa"/>
                </w:tcPr>
                <w:p w:rsidR="00E55762" w:rsidRPr="00293B1F" w:rsidP="003722D9">
                  <w:pPr>
                    <w:pStyle w:val="TableMiddleRows"/>
                    <w:jc w:val="right"/>
                  </w:pPr>
                  <w:r w:rsidRPr="00293B1F">
                    <w:t>615 836</w:t>
                  </w:r>
                </w:p>
              </w:tc>
              <w:tc>
                <w:tcPr>
                  <w:tcW w:w="993" w:type="dxa"/>
                </w:tcPr>
                <w:p w:rsidR="00E55762" w:rsidRPr="00293B1F" w:rsidP="003722D9">
                  <w:pPr>
                    <w:pStyle w:val="TableMiddleRows"/>
                    <w:jc w:val="right"/>
                  </w:pPr>
                  <w:r w:rsidRPr="00293B1F">
                    <w:t>639 505</w:t>
                  </w:r>
                </w:p>
              </w:tc>
              <w:tc>
                <w:tcPr>
                  <w:tcW w:w="813" w:type="dxa"/>
                </w:tcPr>
                <w:p w:rsidR="00E55762" w:rsidRPr="00293B1F" w:rsidP="003722D9">
                  <w:pPr>
                    <w:pStyle w:val="TableMiddleRows"/>
                    <w:jc w:val="right"/>
                  </w:pPr>
                  <w:r>
                    <w:t>626 120</w:t>
                  </w:r>
                </w:p>
              </w:tc>
              <w:tc>
                <w:tcPr>
                  <w:tcW w:w="851" w:type="dxa"/>
                </w:tcPr>
                <w:p w:rsidR="00E55762" w:rsidRPr="00293B1F" w:rsidP="003722D9">
                  <w:pPr>
                    <w:pStyle w:val="TableMiddleRows"/>
                    <w:jc w:val="right"/>
                  </w:pPr>
                  <w:r>
                    <w:t>649 893</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Summa eget kapital</w:t>
                  </w:r>
                  <w:r w:rsidRPr="00293B1F">
                    <w:rPr>
                      <w:rFonts w:cs="Times New Roman"/>
                      <w:iCs w:val="0"/>
                      <w:szCs w:val="16"/>
                    </w:rPr>
                    <w:tab/>
                  </w:r>
                </w:p>
              </w:tc>
              <w:tc>
                <w:tcPr>
                  <w:tcW w:w="992" w:type="dxa"/>
                </w:tcPr>
                <w:p w:rsidR="00E55762" w:rsidRPr="00293B1F" w:rsidP="003722D9">
                  <w:pPr>
                    <w:pStyle w:val="TableMiddleRows"/>
                    <w:jc w:val="right"/>
                  </w:pPr>
                  <w:r w:rsidRPr="00293B1F">
                    <w:t>31 032</w:t>
                  </w:r>
                </w:p>
              </w:tc>
              <w:tc>
                <w:tcPr>
                  <w:tcW w:w="993" w:type="dxa"/>
                </w:tcPr>
                <w:p w:rsidR="00E55762" w:rsidRPr="00293B1F" w:rsidP="003722D9">
                  <w:pPr>
                    <w:pStyle w:val="TableMiddleRows"/>
                    <w:jc w:val="right"/>
                  </w:pPr>
                  <w:r w:rsidRPr="00293B1F">
                    <w:t>29 837</w:t>
                  </w:r>
                </w:p>
              </w:tc>
              <w:tc>
                <w:tcPr>
                  <w:tcW w:w="813" w:type="dxa"/>
                </w:tcPr>
                <w:p w:rsidR="00E55762" w:rsidRPr="00293B1F" w:rsidP="003722D9">
                  <w:pPr>
                    <w:pStyle w:val="TableMiddleRows"/>
                    <w:jc w:val="right"/>
                  </w:pPr>
                  <w:r>
                    <w:t>31 070</w:t>
                  </w:r>
                </w:p>
              </w:tc>
              <w:tc>
                <w:tcPr>
                  <w:tcW w:w="851" w:type="dxa"/>
                </w:tcPr>
                <w:p w:rsidR="00E55762" w:rsidRPr="00293B1F" w:rsidP="003722D9">
                  <w:pPr>
                    <w:pStyle w:val="TableMiddleRows"/>
                    <w:jc w:val="right"/>
                  </w:pPr>
                  <w:r>
                    <w:t>29 984</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lang w:val="sv-SE"/>
                    </w:rPr>
                  </w:pPr>
                  <w:r w:rsidRPr="00293B1F">
                    <w:rPr>
                      <w:rFonts w:cs="Times New Roman"/>
                      <w:iCs w:val="0"/>
                      <w:szCs w:val="16"/>
                      <w:lang w:val="sv-SE"/>
                    </w:rPr>
                    <w:t>Summa skulder och eget kapital</w:t>
                  </w:r>
                  <w:r w:rsidRPr="00293B1F">
                    <w:rPr>
                      <w:rFonts w:cs="Times New Roman"/>
                      <w:iCs w:val="0"/>
                      <w:szCs w:val="16"/>
                      <w:lang w:val="sv-SE"/>
                    </w:rPr>
                    <w:tab/>
                  </w:r>
                </w:p>
              </w:tc>
              <w:tc>
                <w:tcPr>
                  <w:tcW w:w="992" w:type="dxa"/>
                </w:tcPr>
                <w:p w:rsidR="00E55762" w:rsidRPr="00293B1F" w:rsidP="003722D9">
                  <w:pPr>
                    <w:pStyle w:val="TableMiddleRows"/>
                    <w:jc w:val="right"/>
                  </w:pPr>
                  <w:r w:rsidRPr="00293B1F">
                    <w:t>646 868</w:t>
                  </w:r>
                </w:p>
              </w:tc>
              <w:tc>
                <w:tcPr>
                  <w:tcW w:w="993" w:type="dxa"/>
                </w:tcPr>
                <w:p w:rsidR="00E55762" w:rsidRPr="00293B1F" w:rsidP="003722D9">
                  <w:pPr>
                    <w:pStyle w:val="TableMiddleRows"/>
                    <w:jc w:val="right"/>
                  </w:pPr>
                  <w:r w:rsidRPr="00293B1F">
                    <w:t>669 342</w:t>
                  </w:r>
                </w:p>
              </w:tc>
              <w:tc>
                <w:tcPr>
                  <w:tcW w:w="813" w:type="dxa"/>
                </w:tcPr>
                <w:p w:rsidR="00E55762" w:rsidRPr="00293B1F" w:rsidP="003722D9">
                  <w:pPr>
                    <w:pStyle w:val="TableMiddleRows"/>
                    <w:jc w:val="right"/>
                  </w:pPr>
                  <w:r>
                    <w:t>657 190</w:t>
                  </w:r>
                </w:p>
              </w:tc>
              <w:tc>
                <w:tcPr>
                  <w:tcW w:w="851" w:type="dxa"/>
                </w:tcPr>
                <w:p w:rsidR="00E55762" w:rsidRPr="00293B1F" w:rsidP="003722D9">
                  <w:pPr>
                    <w:pStyle w:val="TableMiddleRows"/>
                    <w:jc w:val="right"/>
                  </w:pPr>
                  <w:r>
                    <w:t>79 877</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p>
              </w:tc>
              <w:tc>
                <w:tcPr>
                  <w:tcW w:w="992" w:type="dxa"/>
                </w:tcPr>
                <w:p w:rsidR="00E55762" w:rsidRPr="00293B1F" w:rsidP="003722D9">
                  <w:pPr>
                    <w:pStyle w:val="TableMiddleRows"/>
                    <w:jc w:val="right"/>
                  </w:pPr>
                </w:p>
              </w:tc>
              <w:tc>
                <w:tcPr>
                  <w:tcW w:w="993" w:type="dxa"/>
                </w:tcPr>
                <w:p w:rsidR="00E55762" w:rsidRPr="00293B1F" w:rsidP="003722D9">
                  <w:pPr>
                    <w:pStyle w:val="TableMiddleRows"/>
                    <w:jc w:val="right"/>
                  </w:pPr>
                </w:p>
              </w:tc>
              <w:tc>
                <w:tcPr>
                  <w:tcW w:w="813" w:type="dxa"/>
                </w:tcPr>
                <w:p w:rsidR="00E55762" w:rsidRPr="00293B1F" w:rsidP="003722D9">
                  <w:pPr>
                    <w:pStyle w:val="TableMiddleRows"/>
                    <w:jc w:val="right"/>
                  </w:pPr>
                </w:p>
              </w:tc>
              <w:tc>
                <w:tcPr>
                  <w:tcW w:w="851" w:type="dxa"/>
                </w:tcPr>
                <w:p w:rsidR="00E55762" w:rsidRPr="00293B1F" w:rsidP="003722D9">
                  <w:pPr>
                    <w:pStyle w:val="TableMiddleRows"/>
                    <w:jc w:val="right"/>
                  </w:pP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b/>
                      <w:bCs/>
                      <w:iCs w:val="0"/>
                      <w:szCs w:val="16"/>
                    </w:rPr>
                  </w:pPr>
                  <w:r w:rsidRPr="00293B1F">
                    <w:rPr>
                      <w:rFonts w:cs="Times New Roman"/>
                      <w:b/>
                      <w:bCs/>
                      <w:iCs w:val="0"/>
                      <w:szCs w:val="16"/>
                    </w:rPr>
                    <w:t>Kassaflödesanalys</w:t>
                  </w:r>
                </w:p>
              </w:tc>
              <w:tc>
                <w:tcPr>
                  <w:tcW w:w="992" w:type="dxa"/>
                </w:tcPr>
                <w:p w:rsidR="00E55762" w:rsidRPr="00293B1F" w:rsidP="003722D9">
                  <w:pPr>
                    <w:pStyle w:val="TableMiddleRows"/>
                    <w:jc w:val="right"/>
                  </w:pPr>
                </w:p>
              </w:tc>
              <w:tc>
                <w:tcPr>
                  <w:tcW w:w="993" w:type="dxa"/>
                </w:tcPr>
                <w:p w:rsidR="00E55762" w:rsidRPr="00293B1F" w:rsidP="003722D9">
                  <w:pPr>
                    <w:pStyle w:val="TableMiddleRows"/>
                    <w:jc w:val="right"/>
                  </w:pPr>
                </w:p>
              </w:tc>
              <w:tc>
                <w:tcPr>
                  <w:tcW w:w="813" w:type="dxa"/>
                </w:tcPr>
                <w:p w:rsidR="00E55762" w:rsidRPr="00293B1F" w:rsidP="003722D9">
                  <w:pPr>
                    <w:pStyle w:val="TableMiddleRows"/>
                    <w:jc w:val="right"/>
                  </w:pPr>
                </w:p>
              </w:tc>
              <w:tc>
                <w:tcPr>
                  <w:tcW w:w="851" w:type="dxa"/>
                </w:tcPr>
                <w:p w:rsidR="00E55762" w:rsidRPr="00293B1F" w:rsidP="003722D9">
                  <w:pPr>
                    <w:pStyle w:val="TableMiddleRows"/>
                    <w:jc w:val="right"/>
                  </w:pP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lang w:val="sv-SE"/>
                    </w:rPr>
                  </w:pPr>
                  <w:r w:rsidRPr="00293B1F">
                    <w:rPr>
                      <w:rFonts w:cs="Times New Roman"/>
                      <w:iCs w:val="0"/>
                      <w:szCs w:val="16"/>
                      <w:lang w:val="sv-SE"/>
                    </w:rPr>
                    <w:t>Kassaflöde från den löpande verksamheten före förändring av den löpande verksamhetens tillgångar och skulder</w:t>
                  </w:r>
                  <w:r w:rsidRPr="00293B1F">
                    <w:rPr>
                      <w:rFonts w:cs="Times New Roman"/>
                      <w:iCs w:val="0"/>
                      <w:szCs w:val="16"/>
                      <w:lang w:val="sv-SE"/>
                    </w:rPr>
                    <w:tab/>
                  </w:r>
                </w:p>
              </w:tc>
              <w:tc>
                <w:tcPr>
                  <w:tcW w:w="992" w:type="dxa"/>
                  <w:vAlign w:val="bottom"/>
                </w:tcPr>
                <w:p w:rsidR="00E55762" w:rsidRPr="00293B1F" w:rsidP="003722D9">
                  <w:pPr>
                    <w:pStyle w:val="TableMiddleRows"/>
                    <w:jc w:val="right"/>
                  </w:pPr>
                  <w:r w:rsidRPr="00293B1F">
                    <w:t>6 472</w:t>
                  </w:r>
                </w:p>
              </w:tc>
              <w:tc>
                <w:tcPr>
                  <w:tcW w:w="993" w:type="dxa"/>
                  <w:vAlign w:val="bottom"/>
                </w:tcPr>
                <w:p w:rsidR="00E55762" w:rsidRPr="00293B1F" w:rsidP="003722D9">
                  <w:pPr>
                    <w:pStyle w:val="TableMiddleRows"/>
                    <w:jc w:val="right"/>
                  </w:pPr>
                  <w:r w:rsidRPr="00293B1F">
                    <w:t>11 456</w:t>
                  </w:r>
                </w:p>
              </w:tc>
              <w:tc>
                <w:tcPr>
                  <w:tcW w:w="813" w:type="dxa"/>
                  <w:vAlign w:val="bottom"/>
                </w:tcPr>
                <w:p w:rsidR="00E55762" w:rsidRPr="00293B1F" w:rsidP="003722D9">
                  <w:pPr>
                    <w:pStyle w:val="TableMiddleRows"/>
                    <w:jc w:val="right"/>
                  </w:pPr>
                  <w:r>
                    <w:t>5 437</w:t>
                  </w:r>
                </w:p>
              </w:tc>
              <w:tc>
                <w:tcPr>
                  <w:tcW w:w="851" w:type="dxa"/>
                  <w:vAlign w:val="bottom"/>
                </w:tcPr>
                <w:p w:rsidR="00E55762" w:rsidRPr="00293B1F" w:rsidP="003722D9">
                  <w:pPr>
                    <w:pStyle w:val="TableMiddleRows"/>
                    <w:jc w:val="right"/>
                  </w:pPr>
                  <w:r>
                    <w:t>4 927</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lang w:val="sv-SE"/>
                    </w:rPr>
                  </w:pPr>
                  <w:r w:rsidRPr="00293B1F">
                    <w:rPr>
                      <w:rFonts w:cs="Times New Roman"/>
                      <w:iCs w:val="0"/>
                      <w:szCs w:val="16"/>
                      <w:lang w:val="sv-SE"/>
                    </w:rPr>
                    <w:t>Kassaflöde från den löpande verksamheten</w:t>
                  </w:r>
                  <w:r w:rsidRPr="00293B1F">
                    <w:rPr>
                      <w:rFonts w:cs="Times New Roman"/>
                      <w:iCs w:val="0"/>
                      <w:szCs w:val="16"/>
                      <w:lang w:val="sv-SE"/>
                    </w:rPr>
                    <w:tab/>
                  </w:r>
                </w:p>
              </w:tc>
              <w:tc>
                <w:tcPr>
                  <w:tcW w:w="992" w:type="dxa"/>
                  <w:vAlign w:val="bottom"/>
                </w:tcPr>
                <w:p w:rsidR="00E55762" w:rsidRPr="00293B1F" w:rsidP="003722D9">
                  <w:pPr>
                    <w:pStyle w:val="TableMiddleRows"/>
                    <w:jc w:val="right"/>
                  </w:pPr>
                  <w:r w:rsidRPr="00293B1F">
                    <w:t>196</w:t>
                  </w:r>
                </w:p>
              </w:tc>
              <w:tc>
                <w:tcPr>
                  <w:tcW w:w="993" w:type="dxa"/>
                  <w:vAlign w:val="bottom"/>
                </w:tcPr>
                <w:p w:rsidR="00E55762" w:rsidRPr="00293B1F" w:rsidP="003722D9">
                  <w:pPr>
                    <w:pStyle w:val="TableMiddleRows"/>
                    <w:jc w:val="right"/>
                  </w:pPr>
                  <w:r w:rsidRPr="00293B1F">
                    <w:t>-10 824</w:t>
                  </w:r>
                </w:p>
              </w:tc>
              <w:tc>
                <w:tcPr>
                  <w:tcW w:w="813" w:type="dxa"/>
                  <w:vAlign w:val="bottom"/>
                </w:tcPr>
                <w:p w:rsidR="00E55762" w:rsidRPr="00293B1F" w:rsidP="003722D9">
                  <w:pPr>
                    <w:pStyle w:val="TableMiddleRows"/>
                    <w:jc w:val="right"/>
                  </w:pPr>
                  <w:r>
                    <w:t>22 204</w:t>
                  </w:r>
                </w:p>
              </w:tc>
              <w:tc>
                <w:tcPr>
                  <w:tcW w:w="851" w:type="dxa"/>
                  <w:vAlign w:val="bottom"/>
                </w:tcPr>
                <w:p w:rsidR="00E55762" w:rsidRPr="00293B1F" w:rsidP="003722D9">
                  <w:pPr>
                    <w:pStyle w:val="TableMiddleRows"/>
                    <w:jc w:val="right"/>
                  </w:pPr>
                  <w:r>
                    <w:t>11 776</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Kassaflöde från investeringsverksamheten</w:t>
                  </w:r>
                  <w:r w:rsidRPr="00293B1F">
                    <w:rPr>
                      <w:rFonts w:cs="Times New Roman"/>
                      <w:iCs w:val="0"/>
                      <w:szCs w:val="16"/>
                    </w:rPr>
                    <w:tab/>
                  </w:r>
                </w:p>
              </w:tc>
              <w:tc>
                <w:tcPr>
                  <w:tcW w:w="992" w:type="dxa"/>
                  <w:vAlign w:val="bottom"/>
                </w:tcPr>
                <w:p w:rsidR="00E55762" w:rsidRPr="00293B1F" w:rsidP="003722D9">
                  <w:pPr>
                    <w:pStyle w:val="TableMiddleRows"/>
                    <w:jc w:val="right"/>
                  </w:pPr>
                  <w:r w:rsidRPr="00293B1F">
                    <w:t>-522</w:t>
                  </w:r>
                </w:p>
              </w:tc>
              <w:tc>
                <w:tcPr>
                  <w:tcW w:w="993" w:type="dxa"/>
                  <w:vAlign w:val="bottom"/>
                </w:tcPr>
                <w:p w:rsidR="00E55762" w:rsidRPr="00293B1F" w:rsidP="003722D9">
                  <w:pPr>
                    <w:pStyle w:val="TableMiddleRows"/>
                    <w:jc w:val="right"/>
                  </w:pPr>
                  <w:r w:rsidRPr="00293B1F">
                    <w:t>3 254</w:t>
                  </w:r>
                </w:p>
              </w:tc>
              <w:tc>
                <w:tcPr>
                  <w:tcW w:w="813" w:type="dxa"/>
                  <w:vAlign w:val="bottom"/>
                </w:tcPr>
                <w:p w:rsidR="00E55762" w:rsidRPr="00293B1F" w:rsidP="003722D9">
                  <w:pPr>
                    <w:pStyle w:val="TableMiddleRows"/>
                    <w:jc w:val="right"/>
                  </w:pPr>
                  <w:r w:rsidRPr="00293B1F">
                    <w:t>-</w:t>
                  </w:r>
                  <w:r>
                    <w:t>762</w:t>
                  </w:r>
                </w:p>
              </w:tc>
              <w:tc>
                <w:tcPr>
                  <w:tcW w:w="851" w:type="dxa"/>
                  <w:vAlign w:val="bottom"/>
                </w:tcPr>
                <w:p w:rsidR="00E55762" w:rsidRPr="00293B1F" w:rsidP="003722D9">
                  <w:pPr>
                    <w:pStyle w:val="TableMiddleRows"/>
                    <w:jc w:val="right"/>
                  </w:pPr>
                  <w:r w:rsidRPr="00293B1F">
                    <w:t>-</w:t>
                  </w:r>
                  <w:r>
                    <w:t>441</w:t>
                  </w:r>
                </w:p>
              </w:tc>
            </w:tr>
            <w:tr w:rsidTr="003722D9">
              <w:tblPrEx>
                <w:tblW w:w="6102" w:type="dxa"/>
                <w:tblLayout w:type="fixed"/>
                <w:tblLook w:val="04A0"/>
              </w:tblPrEx>
              <w:tc>
                <w:tcPr>
                  <w:tcW w:w="2453" w:type="dxa"/>
                  <w:vAlign w:val="bottom"/>
                </w:tcPr>
                <w:p w:rsidR="00E55762" w:rsidRPr="00293B1F" w:rsidP="003722D9">
                  <w:pPr>
                    <w:pStyle w:val="TableMiddleRows"/>
                    <w:tabs>
                      <w:tab w:val="clear" w:pos="4140"/>
                      <w:tab w:val="right" w:leader="dot" w:pos="6493"/>
                    </w:tabs>
                    <w:jc w:val="left"/>
                    <w:rPr>
                      <w:rFonts w:cs="Times New Roman"/>
                      <w:iCs w:val="0"/>
                      <w:szCs w:val="16"/>
                    </w:rPr>
                  </w:pPr>
                  <w:r w:rsidRPr="00293B1F">
                    <w:rPr>
                      <w:rFonts w:cs="Times New Roman"/>
                      <w:iCs w:val="0"/>
                      <w:szCs w:val="16"/>
                    </w:rPr>
                    <w:t>Kassaflöde från finansieringsverksamheten</w:t>
                  </w:r>
                  <w:r w:rsidRPr="00293B1F">
                    <w:rPr>
                      <w:rFonts w:cs="Times New Roman"/>
                      <w:iCs w:val="0"/>
                      <w:szCs w:val="16"/>
                    </w:rPr>
                    <w:tab/>
                  </w:r>
                </w:p>
              </w:tc>
              <w:tc>
                <w:tcPr>
                  <w:tcW w:w="992" w:type="dxa"/>
                  <w:vAlign w:val="bottom"/>
                </w:tcPr>
                <w:p w:rsidR="00E55762" w:rsidRPr="00293B1F" w:rsidP="003722D9">
                  <w:pPr>
                    <w:pStyle w:val="TableMiddleRows"/>
                    <w:jc w:val="right"/>
                  </w:pPr>
                  <w:r w:rsidRPr="00293B1F">
                    <w:t>-1 746</w:t>
                  </w:r>
                </w:p>
              </w:tc>
              <w:tc>
                <w:tcPr>
                  <w:tcW w:w="993" w:type="dxa"/>
                  <w:vAlign w:val="bottom"/>
                </w:tcPr>
                <w:p w:rsidR="00E55762" w:rsidRPr="00293B1F" w:rsidP="003722D9">
                  <w:pPr>
                    <w:pStyle w:val="TableMiddleRows"/>
                    <w:jc w:val="right"/>
                  </w:pPr>
                  <w:r w:rsidRPr="00293B1F">
                    <w:t>-1 040</w:t>
                  </w:r>
                </w:p>
              </w:tc>
              <w:tc>
                <w:tcPr>
                  <w:tcW w:w="813" w:type="dxa"/>
                  <w:vAlign w:val="bottom"/>
                </w:tcPr>
                <w:p w:rsidR="00E55762" w:rsidRPr="00293B1F" w:rsidP="003722D9">
                  <w:pPr>
                    <w:pStyle w:val="TableMiddleRows"/>
                    <w:jc w:val="right"/>
                  </w:pPr>
                  <w:r>
                    <w:t>1 560</w:t>
                  </w:r>
                </w:p>
              </w:tc>
              <w:tc>
                <w:tcPr>
                  <w:tcW w:w="851" w:type="dxa"/>
                  <w:vAlign w:val="bottom"/>
                </w:tcPr>
                <w:p w:rsidR="00E55762" w:rsidRPr="000034E5" w:rsidP="003722D9">
                  <w:pPr>
                    <w:pStyle w:val="TableMiddleRows"/>
                    <w:jc w:val="right"/>
                    <w:rPr>
                      <w:lang w:val="sv-SE"/>
                    </w:rPr>
                  </w:pPr>
                  <w:r w:rsidRPr="000034E5">
                    <w:rPr>
                      <w:lang w:val="sv-SE"/>
                    </w:rPr>
                    <w:t xml:space="preserve">2. </w:t>
                  </w:r>
                  <w:r>
                    <w:rPr>
                      <w:lang w:val="sv-SE"/>
                    </w:rPr>
                    <w:t>613</w:t>
                  </w:r>
                </w:p>
              </w:tc>
            </w:tr>
            <w:tr w:rsidTr="003722D9">
              <w:tblPrEx>
                <w:tblW w:w="6102" w:type="dxa"/>
                <w:tblLayout w:type="fixed"/>
                <w:tblLook w:val="04A0"/>
              </w:tblPrEx>
              <w:tc>
                <w:tcPr>
                  <w:tcW w:w="2453" w:type="dxa"/>
                  <w:vAlign w:val="bottom"/>
                </w:tcPr>
                <w:p w:rsidR="00E55762" w:rsidRPr="000034E5" w:rsidP="003722D9">
                  <w:pPr>
                    <w:pStyle w:val="TableMiddleRows"/>
                    <w:tabs>
                      <w:tab w:val="clear" w:pos="4140"/>
                      <w:tab w:val="right" w:leader="dot" w:pos="6493"/>
                    </w:tabs>
                    <w:jc w:val="left"/>
                    <w:rPr>
                      <w:rFonts w:cs="Times New Roman"/>
                      <w:iCs w:val="0"/>
                      <w:szCs w:val="16"/>
                      <w:lang w:val="sv-SE"/>
                    </w:rPr>
                  </w:pPr>
                  <w:r w:rsidRPr="000034E5">
                    <w:rPr>
                      <w:rFonts w:cs="Times New Roman"/>
                      <w:iCs w:val="0"/>
                      <w:szCs w:val="16"/>
                      <w:lang w:val="sv-SE"/>
                    </w:rPr>
                    <w:t>Årets kassaflöde</w:t>
                  </w:r>
                  <w:r w:rsidRPr="000034E5">
                    <w:rPr>
                      <w:rFonts w:cs="Times New Roman"/>
                      <w:iCs w:val="0"/>
                      <w:szCs w:val="16"/>
                      <w:lang w:val="sv-SE"/>
                    </w:rPr>
                    <w:tab/>
                  </w:r>
                </w:p>
              </w:tc>
              <w:tc>
                <w:tcPr>
                  <w:tcW w:w="992" w:type="dxa"/>
                </w:tcPr>
                <w:p w:rsidR="00E55762" w:rsidRPr="000034E5" w:rsidP="003722D9">
                  <w:pPr>
                    <w:pStyle w:val="TableMiddleRows"/>
                    <w:jc w:val="right"/>
                    <w:rPr>
                      <w:lang w:val="sv-SE"/>
                    </w:rPr>
                  </w:pPr>
                  <w:r w:rsidRPr="000034E5">
                    <w:rPr>
                      <w:lang w:val="sv-SE"/>
                    </w:rPr>
                    <w:t>-2 072</w:t>
                  </w:r>
                </w:p>
              </w:tc>
              <w:tc>
                <w:tcPr>
                  <w:tcW w:w="993" w:type="dxa"/>
                </w:tcPr>
                <w:p w:rsidR="00E55762" w:rsidRPr="000034E5" w:rsidP="003722D9">
                  <w:pPr>
                    <w:pStyle w:val="TableMiddleRows"/>
                    <w:jc w:val="right"/>
                    <w:rPr>
                      <w:lang w:val="sv-SE"/>
                    </w:rPr>
                  </w:pPr>
                  <w:r w:rsidRPr="000034E5">
                    <w:rPr>
                      <w:lang w:val="sv-SE"/>
                    </w:rPr>
                    <w:t>-8 610</w:t>
                  </w:r>
                </w:p>
              </w:tc>
              <w:tc>
                <w:tcPr>
                  <w:tcW w:w="813" w:type="dxa"/>
                </w:tcPr>
                <w:p w:rsidR="00E55762" w:rsidRPr="000034E5" w:rsidP="003722D9">
                  <w:pPr>
                    <w:pStyle w:val="TableMiddleRows"/>
                    <w:jc w:val="right"/>
                    <w:rPr>
                      <w:lang w:val="sv-SE"/>
                    </w:rPr>
                  </w:pPr>
                  <w:r w:rsidRPr="000034E5">
                    <w:rPr>
                      <w:lang w:val="sv-SE"/>
                    </w:rPr>
                    <w:t>19 882</w:t>
                  </w:r>
                </w:p>
              </w:tc>
              <w:tc>
                <w:tcPr>
                  <w:tcW w:w="851" w:type="dxa"/>
                </w:tcPr>
                <w:p w:rsidR="00E55762" w:rsidRPr="000034E5" w:rsidP="003722D9">
                  <w:pPr>
                    <w:pStyle w:val="TableMiddleRows"/>
                    <w:jc w:val="right"/>
                    <w:rPr>
                      <w:lang w:val="sv-SE"/>
                    </w:rPr>
                  </w:pPr>
                  <w:r>
                    <w:rPr>
                      <w:lang w:val="sv-SE"/>
                    </w:rPr>
                    <w:t>8 722</w:t>
                  </w:r>
                </w:p>
              </w:tc>
            </w:tr>
            <w:tr w:rsidTr="003722D9">
              <w:tblPrEx>
                <w:tblW w:w="6102" w:type="dxa"/>
                <w:tblLayout w:type="fixed"/>
                <w:tblLook w:val="04A0"/>
              </w:tblPrEx>
              <w:tc>
                <w:tcPr>
                  <w:tcW w:w="2453" w:type="dxa"/>
                  <w:vAlign w:val="bottom"/>
                </w:tcPr>
                <w:p w:rsidR="00E55762" w:rsidRPr="000034E5" w:rsidP="003722D9">
                  <w:pPr>
                    <w:pStyle w:val="TableMiddleRows"/>
                    <w:tabs>
                      <w:tab w:val="clear" w:pos="4140"/>
                      <w:tab w:val="right" w:leader="dot" w:pos="6493"/>
                    </w:tabs>
                    <w:spacing w:after="200"/>
                    <w:jc w:val="left"/>
                    <w:rPr>
                      <w:rFonts w:cs="Times New Roman"/>
                      <w:iCs w:val="0"/>
                      <w:szCs w:val="16"/>
                      <w:lang w:val="sv-SE"/>
                    </w:rPr>
                  </w:pPr>
                  <w:r w:rsidRPr="000034E5">
                    <w:rPr>
                      <w:rFonts w:cs="Times New Roman"/>
                      <w:iCs w:val="0"/>
                      <w:szCs w:val="16"/>
                      <w:lang w:val="sv-SE"/>
                    </w:rPr>
                    <w:t>Förändring</w:t>
                  </w:r>
                  <w:r w:rsidRPr="000034E5">
                    <w:rPr>
                      <w:rFonts w:cs="Times New Roman"/>
                      <w:iCs w:val="0"/>
                      <w:szCs w:val="16"/>
                      <w:lang w:val="sv-SE"/>
                    </w:rPr>
                    <w:tab/>
                  </w:r>
                </w:p>
              </w:tc>
              <w:tc>
                <w:tcPr>
                  <w:tcW w:w="992" w:type="dxa"/>
                </w:tcPr>
                <w:p w:rsidR="00E55762" w:rsidRPr="000034E5" w:rsidP="003722D9">
                  <w:pPr>
                    <w:pStyle w:val="TableMiddleRows"/>
                    <w:jc w:val="right"/>
                    <w:rPr>
                      <w:lang w:val="sv-SE"/>
                    </w:rPr>
                  </w:pPr>
                  <w:r w:rsidRPr="000034E5">
                    <w:rPr>
                      <w:lang w:val="sv-SE"/>
                    </w:rPr>
                    <w:t>-2 072</w:t>
                  </w:r>
                </w:p>
              </w:tc>
              <w:tc>
                <w:tcPr>
                  <w:tcW w:w="993" w:type="dxa"/>
                </w:tcPr>
                <w:p w:rsidR="00E55762" w:rsidRPr="000034E5" w:rsidP="003722D9">
                  <w:pPr>
                    <w:pStyle w:val="TableMiddleRows"/>
                    <w:jc w:val="right"/>
                    <w:rPr>
                      <w:lang w:val="sv-SE"/>
                    </w:rPr>
                  </w:pPr>
                  <w:r w:rsidRPr="000034E5">
                    <w:rPr>
                      <w:lang w:val="sv-SE"/>
                    </w:rPr>
                    <w:t>-8 610</w:t>
                  </w:r>
                </w:p>
              </w:tc>
              <w:tc>
                <w:tcPr>
                  <w:tcW w:w="813" w:type="dxa"/>
                </w:tcPr>
                <w:p w:rsidR="00E55762" w:rsidRPr="000034E5" w:rsidP="003722D9">
                  <w:pPr>
                    <w:pStyle w:val="TableMiddleRows"/>
                    <w:jc w:val="right"/>
                    <w:rPr>
                      <w:lang w:val="sv-SE"/>
                    </w:rPr>
                  </w:pPr>
                  <w:r w:rsidRPr="000034E5">
                    <w:rPr>
                      <w:lang w:val="sv-SE"/>
                    </w:rPr>
                    <w:t>19 882</w:t>
                  </w:r>
                </w:p>
              </w:tc>
              <w:tc>
                <w:tcPr>
                  <w:tcW w:w="851" w:type="dxa"/>
                </w:tcPr>
                <w:p w:rsidR="00E55762" w:rsidRPr="000034E5" w:rsidP="003722D9">
                  <w:pPr>
                    <w:pStyle w:val="TableMiddleRows"/>
                    <w:jc w:val="right"/>
                    <w:rPr>
                      <w:lang w:val="sv-SE"/>
                    </w:rPr>
                  </w:pPr>
                  <w:r>
                    <w:rPr>
                      <w:lang w:val="sv-SE"/>
                    </w:rPr>
                    <w:t>8 722</w:t>
                  </w:r>
                </w:p>
              </w:tc>
            </w:tr>
          </w:tbl>
          <w:p w:rsidR="00E55762" w:rsidRPr="000034E5" w:rsidP="003722D9">
            <w:pPr>
              <w:pStyle w:val="BodyText"/>
              <w:rPr>
                <w:i/>
                <w:iCs/>
                <w:lang w:val="sv-SE"/>
              </w:rPr>
            </w:pPr>
          </w:p>
        </w:tc>
      </w:tr>
      <w:tr w:rsidTr="003722D9">
        <w:tblPrEx>
          <w:tblW w:w="5000" w:type="pct"/>
          <w:tblLayout w:type="fixed"/>
          <w:tblLook w:val="0000"/>
        </w:tblPrEx>
        <w:trPr>
          <w:cantSplit/>
          <w:trHeight w:val="277"/>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Tablerow"/>
              <w:keepNext w:val="0"/>
              <w:tabs>
                <w:tab w:val="right" w:leader="dot" w:pos="4115"/>
                <w:tab w:val="clear" w:pos="6300"/>
              </w:tabs>
              <w:rPr>
                <w:b/>
                <w:sz w:val="20"/>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Tableheaderrow"/>
              <w:keepNext w:val="0"/>
              <w:tabs>
                <w:tab w:val="clear" w:pos="4140"/>
              </w:tabs>
              <w:spacing w:after="120"/>
              <w:rPr>
                <w:rFonts w:ascii="Times New Roman" w:hAnsi="Times New Roman" w:cs="Times New Roman"/>
                <w:szCs w:val="16"/>
                <w:lang w:val="sv-SE"/>
              </w:rPr>
            </w:pP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 xml:space="preserve">Det har inte skett några väsentliga negativa förändringar i den löpande verksamheten eller framtidsutsikterna för NBAB sedan </w:t>
            </w:r>
            <w:r>
              <w:rPr>
                <w:lang w:val="sv-SE"/>
              </w:rPr>
              <w:t xml:space="preserve">den 31 december 2015, </w:t>
            </w:r>
            <w:r w:rsidRPr="00293B1F">
              <w:rPr>
                <w:lang w:val="sv-SE"/>
              </w:rPr>
              <w:t>datumet för senast publice</w:t>
            </w:r>
            <w:r>
              <w:rPr>
                <w:lang w:val="sv-SE"/>
              </w:rPr>
              <w:t>rade reviderade årsredovisningen.</w:t>
            </w:r>
            <w:r>
              <w:rPr>
                <w:rStyle w:val="FootnoteReference"/>
                <w:lang w:val="sv-SE"/>
              </w:rPr>
              <w:footnoteReference w:id="25"/>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b/>
                <w:lang w:val="sv-SE"/>
              </w:rPr>
            </w:pPr>
            <w:r w:rsidRPr="00293B1F">
              <w:rPr>
                <w:lang w:val="sv-SE"/>
              </w:rPr>
              <w:t>Det har inte skett någon väsentlig förändring i den finansiella eller markna</w:t>
            </w:r>
            <w:r>
              <w:rPr>
                <w:lang w:val="sv-SE"/>
              </w:rPr>
              <w:t>dsmässiga ställningen för NBAB se</w:t>
            </w:r>
            <w:r w:rsidRPr="00293B1F">
              <w:rPr>
                <w:lang w:val="sv-SE"/>
              </w:rPr>
              <w:t xml:space="preserve">dan </w:t>
            </w:r>
            <w:r>
              <w:rPr>
                <w:lang w:val="sv-SE"/>
              </w:rPr>
              <w:t>30 september 2016</w:t>
            </w:r>
            <w:r w:rsidRPr="00293B1F">
              <w:rPr>
                <w:lang w:val="sv-SE"/>
              </w:rPr>
              <w:t>,</w:t>
            </w:r>
            <w:r>
              <w:rPr>
                <w:rStyle w:val="FootnoteReference"/>
                <w:lang w:val="sv-SE"/>
              </w:rPr>
              <w:footnoteReference w:id="26"/>
            </w:r>
            <w:r>
              <w:rPr>
                <w:lang w:val="sv-SE"/>
              </w:rPr>
              <w:t xml:space="preserve"> datumet f</w:t>
            </w:r>
            <w:r w:rsidRPr="00293B1F">
              <w:rPr>
                <w:lang w:val="sv-SE"/>
              </w:rPr>
              <w:t>ör de</w:t>
            </w:r>
            <w:r>
              <w:rPr>
                <w:lang w:val="sv-SE"/>
              </w:rPr>
              <w:t xml:space="preserve">ss </w:t>
            </w:r>
            <w:r w:rsidRPr="00293B1F">
              <w:rPr>
                <w:lang w:val="sv-SE"/>
              </w:rPr>
              <w:t>senast publicerade finansiella rapporter</w:t>
            </w:r>
            <w:r>
              <w:rPr>
                <w:lang w:val="sv-SE"/>
              </w:rPr>
              <w:t>.</w:t>
            </w:r>
            <w:r>
              <w:rPr>
                <w:vertAlign w:val="superscript"/>
                <w:lang w:val="sv-SE"/>
              </w:rPr>
              <w:t>6</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B.13</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rPr>
            </w:pPr>
            <w:r w:rsidRPr="00293B1F">
              <w:rPr>
                <w:rFonts w:eastAsiaTheme="minorEastAsia"/>
                <w:b/>
                <w:bCs/>
                <w:lang w:val="sv-SE"/>
              </w:rPr>
              <w:t>Nyligen inträffade händelser</w:t>
            </w:r>
            <w:r w:rsidRPr="00293B1F">
              <w:rPr>
                <w:b/>
                <w:bCs/>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rFonts w:eastAsiaTheme="minorEastAsia"/>
                <w:lang w:val="sv-SE"/>
              </w:rPr>
            </w:pPr>
            <w:r w:rsidRPr="00293B1F">
              <w:rPr>
                <w:rFonts w:eastAsiaTheme="minorEastAsia"/>
                <w:lang w:val="sv-SE"/>
              </w:rPr>
              <w:t>Ej tillämpligt för</w:t>
            </w:r>
            <w:r>
              <w:rPr>
                <w:rFonts w:eastAsiaTheme="minorEastAsia"/>
                <w:lang w:val="sv-SE"/>
              </w:rPr>
              <w:t xml:space="preserve"> Emittenten</w:t>
            </w:r>
            <w:r w:rsidRPr="00293B1F">
              <w:rPr>
                <w:rFonts w:eastAsiaTheme="minorEastAsia"/>
                <w:lang w:val="sv-SE"/>
              </w:rPr>
              <w:t xml:space="preserve">. Det har inte förekommit några särskilda händelser som väsentligen påverkar bedömningen av </w:t>
            </w:r>
            <w:r>
              <w:rPr>
                <w:rFonts w:eastAsiaTheme="minorEastAsia"/>
                <w:lang w:val="sv-SE"/>
              </w:rPr>
              <w:t xml:space="preserve">Emittentens </w:t>
            </w:r>
            <w:r w:rsidRPr="00293B1F">
              <w:rPr>
                <w:rFonts w:eastAsiaTheme="minorEastAsia"/>
                <w:lang w:val="sv-SE"/>
              </w:rPr>
              <w:t>solvens sedan datumet för publiceringen</w:t>
            </w:r>
            <w:r>
              <w:rPr>
                <w:rFonts w:eastAsiaTheme="minorEastAsia"/>
                <w:lang w:val="sv-SE"/>
              </w:rPr>
              <w:t xml:space="preserve"> av</w:t>
            </w:r>
            <w:r w:rsidRPr="00293B1F">
              <w:rPr>
                <w:rFonts w:eastAsiaTheme="minorEastAsia"/>
                <w:lang w:val="sv-SE"/>
              </w:rPr>
              <w:t xml:space="preserve"> </w:t>
            </w:r>
            <w:r>
              <w:rPr>
                <w:rFonts w:eastAsiaTheme="minorEastAsia"/>
                <w:lang w:val="sv-SE"/>
              </w:rPr>
              <w:t xml:space="preserve">dess senaste </w:t>
            </w:r>
            <w:r w:rsidRPr="00293B1F">
              <w:rPr>
                <w:rFonts w:eastAsiaTheme="minorEastAsia"/>
                <w:lang w:val="sv-SE"/>
              </w:rPr>
              <w:t>reviderade eller oreviderade finansiella rapporter.</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B.14</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rPr>
            </w:pPr>
            <w:r w:rsidRPr="00293B1F">
              <w:rPr>
                <w:rFonts w:eastAsiaTheme="minorEastAsia"/>
                <w:b/>
                <w:bCs/>
                <w:lang w:val="sv-SE"/>
              </w:rPr>
              <w:t>Koncern-beroende</w:t>
            </w:r>
            <w:r w:rsidRPr="00293B1F">
              <w:rPr>
                <w:b/>
                <w:bCs/>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 xml:space="preserve">Ej tillämpligt. </w:t>
            </w:r>
            <w:r>
              <w:rPr>
                <w:rFonts w:eastAsiaTheme="minorEastAsia"/>
                <w:lang w:val="sv-SE"/>
              </w:rPr>
              <w:t xml:space="preserve">NBAB är ej beroende av andra bolag inom </w:t>
            </w:r>
            <w:r w:rsidRPr="00293B1F">
              <w:rPr>
                <w:rFonts w:eastAsiaTheme="minorEastAsia"/>
                <w:lang w:val="sv-SE"/>
              </w:rPr>
              <w:t>Nordeakoncernen.</w:t>
            </w:r>
            <w:r w:rsidRPr="00E44DA3">
              <w:rPr>
                <w:vertAlign w:val="superscript"/>
                <w:lang w:val="sv-SE"/>
              </w:rPr>
              <w:t xml:space="preserve"> </w:t>
            </w:r>
            <w:r>
              <w:rPr>
                <w:vertAlign w:val="superscript"/>
                <w:lang w:val="sv-SE"/>
              </w:rPr>
              <w:t>6</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B.15</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rPr>
            </w:pPr>
            <w:r>
              <w:rPr>
                <w:rFonts w:eastAsiaTheme="minorEastAsia"/>
                <w:b/>
                <w:bCs/>
                <w:lang w:val="sv-SE"/>
              </w:rPr>
              <w:t>Emittentens</w:t>
            </w:r>
            <w:r w:rsidRPr="00293B1F">
              <w:rPr>
                <w:rFonts w:eastAsiaTheme="minorEastAsia"/>
                <w:b/>
                <w:bCs/>
                <w:lang w:val="sv-SE"/>
              </w:rPr>
              <w:t xml:space="preserve"> huvudsakliga verksamhet</w:t>
            </w:r>
            <w:r w:rsidRPr="00293B1F">
              <w:rPr>
                <w:b/>
                <w:bCs/>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Nordeakoncernens organisationsstruktur är byggd kring tre huvudaffärsområden: Retail Banking, Wholesale Banking och Wealth Management. Utöver dessa affärsområden finns Group Corporate Centre, Group Risk Management och Group Compliance som är de andra centrala delarna av Nordeakoncernens organisation.</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NBAB utför bankverksamhet i Sverige inom ramen för Nordeakoncernens affärsorganisation. NBAB utvecklar och marknadsför finansiella produkter och tjänster till privatkunder, företagskunder och den offentliga sektorn.</w:t>
            </w:r>
            <w:r w:rsidRPr="00E44DA3">
              <w:rPr>
                <w:vertAlign w:val="superscript"/>
                <w:lang w:val="sv-SE"/>
              </w:rPr>
              <w:t xml:space="preserve"> </w:t>
            </w:r>
            <w:r>
              <w:rPr>
                <w:vertAlign w:val="superscript"/>
                <w:lang w:val="sv-SE"/>
              </w:rPr>
              <w:t>6</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B.16</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Personer med direkt eller indirekt ägande/ kontroll</w:t>
            </w:r>
            <w:r w:rsidRPr="00293B1F">
              <w:rPr>
                <w:b/>
                <w:b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Ej tillämpligt. Såvitt NBAB känner till är inte Nordeakoncernen direkt eller indirekt ägd eller kontrollerad av någon enstaka person eller grupp av personer</w:t>
            </w:r>
            <w:r>
              <w:rPr>
                <w:rFonts w:eastAsiaTheme="minorEastAsia"/>
                <w:lang w:val="sv-SE"/>
              </w:rPr>
              <w:t xml:space="preserve"> som agerar tillsammans.</w:t>
            </w:r>
            <w:r>
              <w:rPr>
                <w:vertAlign w:val="superscript"/>
                <w:lang w:val="sv-SE"/>
              </w:rPr>
              <w:t>6</w:t>
            </w:r>
          </w:p>
        </w:tc>
      </w:tr>
      <w:tr w:rsidTr="003722D9">
        <w:tblPrEx>
          <w:tblW w:w="5000" w:type="pct"/>
          <w:tblLayout w:type="fixed"/>
          <w:tblLook w:val="0000"/>
        </w:tblPrEx>
        <w:trPr>
          <w:cantSplit/>
          <w:tblHeader/>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center"/>
              <w:rPr>
                <w:b/>
                <w:bCs/>
                <w:lang w:val="sv-SE"/>
              </w:rPr>
            </w:pPr>
          </w:p>
        </w:tc>
        <w:tc>
          <w:tcPr>
            <w:tcW w:w="4612" w:type="pct"/>
            <w:gridSpan w:val="2"/>
            <w:tcBorders>
              <w:top w:val="single" w:sz="4" w:space="0" w:color="auto"/>
              <w:left w:val="single" w:sz="4" w:space="0" w:color="auto"/>
              <w:bottom w:val="single" w:sz="4" w:space="0" w:color="auto"/>
              <w:right w:val="single" w:sz="4" w:space="0" w:color="auto"/>
            </w:tcBorders>
          </w:tcPr>
          <w:p w:rsidR="00E55762" w:rsidRPr="00293B1F" w:rsidP="003722D9">
            <w:pPr>
              <w:pStyle w:val="BodyText"/>
              <w:jc w:val="center"/>
              <w:rPr>
                <w:b/>
                <w:bCs/>
              </w:rPr>
            </w:pPr>
            <w:r w:rsidRPr="00293B1F">
              <w:rPr>
                <w:b/>
                <w:bCs/>
              </w:rPr>
              <w:t>Avsnitt C – Instrumenten</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rPr>
            </w:pPr>
            <w:r w:rsidRPr="00293B1F">
              <w:rPr>
                <w:b/>
                <w:bCs/>
              </w:rPr>
              <w:t>C.1</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Beskrivning av värdepapperens typ och klass</w:t>
            </w:r>
            <w:r w:rsidRPr="00293B1F">
              <w:rPr>
                <w:b/>
                <w:bCs/>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szCs w:val="20"/>
                <w:lang w:val="sv-SE"/>
              </w:rPr>
            </w:pPr>
            <w:r w:rsidRPr="00293B1F">
              <w:rPr>
                <w:b/>
                <w:i/>
                <w:lang w:val="sv-SE"/>
              </w:rPr>
              <w:t xml:space="preserve">Utfärdande i Serier: </w:t>
            </w:r>
            <w:r w:rsidRPr="00293B1F">
              <w:rPr>
                <w:lang w:val="sv-SE"/>
              </w:rPr>
              <w:t xml:space="preserve">Instrumenten utfärdas i serier (var och en benämnd </w:t>
            </w:r>
            <w:r>
              <w:rPr>
                <w:lang w:val="sv-SE"/>
              </w:rPr>
              <w:t>"</w:t>
            </w:r>
            <w:r w:rsidRPr="00293B1F">
              <w:rPr>
                <w:b/>
                <w:lang w:val="sv-SE"/>
              </w:rPr>
              <w:t>Serie</w:t>
            </w:r>
            <w:r>
              <w:rPr>
                <w:lang w:val="sv-SE"/>
              </w:rPr>
              <w:t>"</w:t>
            </w:r>
            <w:r w:rsidRPr="00293B1F">
              <w:rPr>
                <w:lang w:val="sv-SE"/>
              </w:rPr>
              <w:t xml:space="preserve">) och Instrumenten i varje Serie kommer att vara föremål för identiska villkor (förutom pris, utfärdandedatum och första dag för ränteberäkning, vilka kan men inte behöver vara identiska) vad gäller valuta, ränta, avkastning, förfallodag och liknande. Ytterligare trancher av Instrument (varje sådan benämnd en </w:t>
            </w:r>
            <w:r>
              <w:rPr>
                <w:lang w:val="sv-SE"/>
              </w:rPr>
              <w:t>"</w:t>
            </w:r>
            <w:r w:rsidRPr="00293B1F">
              <w:rPr>
                <w:b/>
                <w:lang w:val="sv-SE"/>
              </w:rPr>
              <w:t>Tranch</w:t>
            </w:r>
            <w:r>
              <w:rPr>
                <w:lang w:val="sv-SE"/>
              </w:rPr>
              <w:t>"</w:t>
            </w:r>
            <w:r w:rsidRPr="00293B1F">
              <w:rPr>
                <w:lang w:val="sv-SE"/>
              </w:rPr>
              <w:t xml:space="preserve">) kan komma att ges ut inom ramen för en existerande Serie.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right w:val="single" w:sz="4" w:space="0" w:color="auto"/>
            </w:tcBorders>
          </w:tcPr>
          <w:p w:rsidR="00E55762" w:rsidRPr="00293B1F" w:rsidP="003722D9">
            <w:pPr>
              <w:pStyle w:val="BodyText"/>
              <w:rPr>
                <w:b/>
                <w:bCs/>
                <w:i/>
                <w:iCs/>
              </w:rPr>
            </w:pPr>
            <w:r w:rsidRPr="00293B1F">
              <w:rPr>
                <w:i/>
                <w:iCs/>
                <w:lang w:val="sv-SE"/>
              </w:rPr>
              <w:t xml:space="preserve">Titel och serienummer för Instrumenten är [•]. </w:t>
            </w:r>
            <w:r w:rsidRPr="00293B1F">
              <w:rPr>
                <w:i/>
                <w:iCs/>
              </w:rPr>
              <w:t xml:space="preserve">Tranchens nummer är [•].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rPr>
            </w:pPr>
          </w:p>
        </w:tc>
        <w:tc>
          <w:tcPr>
            <w:tcW w:w="951" w:type="pct"/>
            <w:tcBorders>
              <w:left w:val="single" w:sz="4" w:space="0" w:color="auto"/>
              <w:right w:val="single" w:sz="4" w:space="0" w:color="auto"/>
            </w:tcBorders>
          </w:tcPr>
          <w:p w:rsidR="00E55762" w:rsidRPr="00293B1F" w:rsidP="003722D9">
            <w:pPr>
              <w:pStyle w:val="BodyText"/>
              <w:rPr>
                <w:b/>
                <w:bCs/>
              </w:rPr>
            </w:pPr>
          </w:p>
        </w:tc>
        <w:tc>
          <w:tcPr>
            <w:tcW w:w="3661" w:type="pct"/>
            <w:tcBorders>
              <w:left w:val="single" w:sz="4" w:space="0" w:color="auto"/>
              <w:right w:val="single" w:sz="4" w:space="0" w:color="auto"/>
            </w:tcBorders>
          </w:tcPr>
          <w:p w:rsidR="00E55762" w:rsidRPr="00293B1F" w:rsidP="003722D9">
            <w:pPr>
              <w:pStyle w:val="BodyText"/>
              <w:rPr>
                <w:lang w:val="sv-SE"/>
              </w:rPr>
            </w:pPr>
            <w:r w:rsidRPr="00293B1F">
              <w:rPr>
                <w:b/>
                <w:i/>
                <w:lang w:val="sv-SE"/>
              </w:rPr>
              <w:t xml:space="preserve">Formen för Instrumenten: </w:t>
            </w:r>
            <w:r w:rsidRPr="00293B1F">
              <w:rPr>
                <w:lang w:val="sv-SE"/>
              </w:rPr>
              <w:t>Instrumenten kan utfärdas i registrerad form och kan komma att clearas genom Euroclear Bank, S.A./N.V. (</w:t>
            </w:r>
            <w:r>
              <w:rPr>
                <w:lang w:val="sv-SE"/>
              </w:rPr>
              <w:t>"</w:t>
            </w:r>
            <w:r w:rsidRPr="00293B1F">
              <w:rPr>
                <w:b/>
                <w:lang w:val="sv-SE"/>
              </w:rPr>
              <w:t>Euroclear</w:t>
            </w:r>
            <w:r>
              <w:rPr>
                <w:b/>
                <w:lang w:val="sv-SE"/>
              </w:rPr>
              <w:fldChar w:fldCharType="begin"/>
            </w:r>
            <w:r w:rsidRPr="0067412A">
              <w:rPr>
                <w:lang w:val="sv-SE"/>
              </w:rPr>
              <w:instrText xml:space="preserve"> XE "</w:instrText>
            </w:r>
            <w:r w:rsidRPr="00110E0B">
              <w:rPr>
                <w:lang w:val="sv-SE"/>
              </w:rPr>
              <w:instrText>Euroclear</w:instrText>
            </w:r>
            <w:r w:rsidRPr="0067412A">
              <w:rPr>
                <w:lang w:val="sv-SE"/>
              </w:rPr>
              <w:instrText xml:space="preserve">" </w:instrText>
            </w:r>
            <w:r>
              <w:rPr>
                <w:b/>
                <w:lang w:val="sv-SE"/>
              </w:rPr>
              <w:fldChar w:fldCharType="end"/>
            </w:r>
            <w:r>
              <w:rPr>
                <w:lang w:val="sv-SE"/>
              </w:rPr>
              <w:t>"</w:t>
            </w:r>
            <w:r w:rsidRPr="00293B1F">
              <w:rPr>
                <w:lang w:val="sv-SE"/>
              </w:rPr>
              <w:t>) eller Clearstream Banking,</w:t>
            </w:r>
            <w:r w:rsidRPr="00293B1F">
              <w:rPr>
                <w:i/>
                <w:lang w:val="sv-SE"/>
              </w:rPr>
              <w:t xml:space="preserve"> soci</w:t>
            </w:r>
            <w:r w:rsidRPr="00293B1F">
              <w:rPr>
                <w:rFonts w:cs="Times New Roman"/>
                <w:i/>
                <w:lang w:val="sv-SE"/>
              </w:rPr>
              <w:t>é</w:t>
            </w:r>
            <w:r w:rsidRPr="00293B1F">
              <w:rPr>
                <w:i/>
                <w:lang w:val="sv-SE"/>
              </w:rPr>
              <w:t>t</w:t>
            </w:r>
            <w:r w:rsidRPr="00293B1F">
              <w:rPr>
                <w:rFonts w:cs="Times New Roman"/>
                <w:i/>
                <w:lang w:val="sv-SE"/>
              </w:rPr>
              <w:t>é</w:t>
            </w:r>
            <w:r w:rsidRPr="00293B1F">
              <w:rPr>
                <w:i/>
                <w:lang w:val="sv-SE"/>
              </w:rPr>
              <w:t xml:space="preserve"> anonyme </w:t>
            </w:r>
            <w:r w:rsidRPr="00293B1F">
              <w:rPr>
                <w:lang w:val="sv-SE"/>
              </w:rPr>
              <w:t>(</w:t>
            </w:r>
            <w:r>
              <w:rPr>
                <w:lang w:val="sv-SE"/>
              </w:rPr>
              <w:t>"</w:t>
            </w:r>
            <w:r w:rsidRPr="00293B1F">
              <w:rPr>
                <w:b/>
                <w:lang w:val="sv-SE"/>
              </w:rPr>
              <w:t>Clearstream, Luxembourg</w:t>
            </w:r>
            <w:r>
              <w:rPr>
                <w:b/>
                <w:lang w:val="sv-SE"/>
              </w:rPr>
              <w:fldChar w:fldCharType="begin"/>
            </w:r>
            <w:r w:rsidRPr="0067412A">
              <w:rPr>
                <w:lang w:val="sv-SE"/>
              </w:rPr>
              <w:instrText xml:space="preserve"> XE "</w:instrText>
            </w:r>
            <w:r w:rsidRPr="00B81181">
              <w:rPr>
                <w:lang w:val="sv-SE"/>
              </w:rPr>
              <w:instrText>Clearstream, Luxembourg</w:instrText>
            </w:r>
            <w:r w:rsidRPr="0067412A">
              <w:rPr>
                <w:lang w:val="sv-SE"/>
              </w:rPr>
              <w:instrText xml:space="preserve">" </w:instrText>
            </w:r>
            <w:r>
              <w:rPr>
                <w:b/>
                <w:lang w:val="sv-SE"/>
              </w:rPr>
              <w:fldChar w:fldCharType="end"/>
            </w:r>
            <w:r>
              <w:rPr>
                <w:lang w:val="sv-SE"/>
              </w:rPr>
              <w:t>"</w:t>
            </w:r>
            <w:r w:rsidRPr="00293B1F">
              <w:rPr>
                <w:lang w:val="sv-SE"/>
              </w:rPr>
              <w:t xml:space="preserve">).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bCs/>
                <w:iCs/>
                <w:lang w:val="sv-SE"/>
              </w:rPr>
            </w:pPr>
            <w:r w:rsidRPr="00293B1F">
              <w:rPr>
                <w:bCs/>
                <w:iCs/>
                <w:lang w:val="sv-SE"/>
              </w:rPr>
              <w:t>Instrumenten kan utfärdas i registrerad form och registreras för clearing och avveckling genom Euroclear Sweden AB (</w:t>
            </w:r>
            <w:r>
              <w:rPr>
                <w:bCs/>
                <w:iCs/>
                <w:lang w:val="sv-SE"/>
              </w:rPr>
              <w:t>"</w:t>
            </w:r>
            <w:r w:rsidRPr="00293B1F">
              <w:rPr>
                <w:b/>
                <w:bCs/>
                <w:iCs/>
                <w:lang w:val="sv-SE"/>
              </w:rPr>
              <w:t>Euroclear Sweden</w:t>
            </w:r>
            <w:r>
              <w:rPr>
                <w:b/>
                <w:bCs/>
                <w:iCs/>
                <w:lang w:val="sv-SE"/>
              </w:rPr>
              <w:fldChar w:fldCharType="begin"/>
            </w:r>
            <w:r w:rsidRPr="0067412A">
              <w:rPr>
                <w:lang w:val="sv-SE"/>
              </w:rPr>
              <w:instrText xml:space="preserve"> XE "</w:instrText>
            </w:r>
            <w:r w:rsidRPr="009614C6">
              <w:rPr>
                <w:bCs/>
                <w:iCs/>
                <w:lang w:val="sv-SE"/>
              </w:rPr>
              <w:instrText>Euroclear Sweden</w:instrText>
            </w:r>
            <w:r w:rsidRPr="0067412A">
              <w:rPr>
                <w:lang w:val="sv-SE"/>
              </w:rPr>
              <w:instrText xml:space="preserve">" </w:instrText>
            </w:r>
            <w:r>
              <w:rPr>
                <w:b/>
                <w:bCs/>
                <w:iCs/>
                <w:lang w:val="sv-SE"/>
              </w:rPr>
              <w:fldChar w:fldCharType="end"/>
            </w:r>
            <w:r>
              <w:rPr>
                <w:bCs/>
                <w:iCs/>
                <w:lang w:val="sv-SE"/>
              </w:rPr>
              <w:t>"</w:t>
            </w:r>
            <w:r w:rsidRPr="00293B1F">
              <w:rPr>
                <w:bCs/>
                <w:iCs/>
                <w:lang w:val="sv-SE"/>
              </w:rPr>
              <w:t>), Euroclear Finland Oy (</w:t>
            </w:r>
            <w:r>
              <w:rPr>
                <w:bCs/>
                <w:iCs/>
                <w:lang w:val="sv-SE"/>
              </w:rPr>
              <w:t>"</w:t>
            </w:r>
            <w:r w:rsidRPr="00293B1F">
              <w:rPr>
                <w:b/>
                <w:bCs/>
                <w:iCs/>
                <w:lang w:val="sv-SE"/>
              </w:rPr>
              <w:t>Euroclear Finland</w:t>
            </w:r>
            <w:r>
              <w:rPr>
                <w:b/>
                <w:bCs/>
                <w:iCs/>
                <w:lang w:val="sv-SE"/>
              </w:rPr>
              <w:fldChar w:fldCharType="begin"/>
            </w:r>
            <w:r w:rsidRPr="0067412A">
              <w:rPr>
                <w:lang w:val="sv-SE"/>
              </w:rPr>
              <w:instrText xml:space="preserve"> XE "</w:instrText>
            </w:r>
            <w:r w:rsidRPr="00E0234A">
              <w:rPr>
                <w:bCs/>
                <w:iCs/>
                <w:lang w:val="sv-SE"/>
              </w:rPr>
              <w:instrText>Euroclear Finland</w:instrText>
            </w:r>
            <w:r w:rsidRPr="0067412A">
              <w:rPr>
                <w:lang w:val="sv-SE"/>
              </w:rPr>
              <w:instrText xml:space="preserve">" </w:instrText>
            </w:r>
            <w:r>
              <w:rPr>
                <w:b/>
                <w:bCs/>
                <w:iCs/>
                <w:lang w:val="sv-SE"/>
              </w:rPr>
              <w:fldChar w:fldCharType="end"/>
            </w:r>
            <w:r>
              <w:rPr>
                <w:bCs/>
                <w:iCs/>
                <w:lang w:val="sv-SE"/>
              </w:rPr>
              <w:t>"</w:t>
            </w:r>
            <w:r w:rsidRPr="00293B1F">
              <w:rPr>
                <w:bCs/>
                <w:iCs/>
                <w:lang w:val="sv-SE"/>
              </w:rPr>
              <w:t>), VP Securities A/S (</w:t>
            </w:r>
            <w:r>
              <w:rPr>
                <w:bCs/>
                <w:iCs/>
                <w:lang w:val="sv-SE"/>
              </w:rPr>
              <w:t>"</w:t>
            </w:r>
            <w:r w:rsidRPr="00293B1F">
              <w:rPr>
                <w:b/>
                <w:bCs/>
                <w:iCs/>
                <w:lang w:val="sv-SE"/>
              </w:rPr>
              <w:t>VP</w:t>
            </w:r>
            <w:r>
              <w:rPr>
                <w:bCs/>
                <w:iCs/>
                <w:lang w:val="sv-SE"/>
              </w:rPr>
              <w:t>"</w:t>
            </w:r>
            <w:r w:rsidRPr="00293B1F">
              <w:rPr>
                <w:bCs/>
                <w:iCs/>
                <w:lang w:val="sv-SE"/>
              </w:rPr>
              <w:t>) eller Verdipapirsentralen ASA (</w:t>
            </w:r>
            <w:r>
              <w:rPr>
                <w:bCs/>
                <w:iCs/>
                <w:lang w:val="sv-SE"/>
              </w:rPr>
              <w:t>"</w:t>
            </w:r>
            <w:r w:rsidRPr="00293B1F">
              <w:rPr>
                <w:b/>
                <w:bCs/>
                <w:iCs/>
                <w:lang w:val="sv-SE"/>
              </w:rPr>
              <w:t>VPS</w:t>
            </w:r>
            <w:r>
              <w:rPr>
                <w:bCs/>
                <w:iCs/>
                <w:lang w:val="sv-SE"/>
              </w:rPr>
              <w:t>"</w:t>
            </w:r>
            <w:r w:rsidRPr="00293B1F">
              <w:rPr>
                <w:bCs/>
                <w:iCs/>
                <w:lang w:val="sv-SE"/>
              </w:rPr>
              <w: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widowControl w:val="0"/>
              <w:rPr>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widowControl w:val="0"/>
              <w:rPr>
                <w:lang w:val="sv-SE"/>
              </w:rPr>
            </w:pPr>
            <w:r w:rsidRPr="00293B1F">
              <w:rPr>
                <w:b/>
                <w:i/>
                <w:lang w:val="sv-SE"/>
              </w:rPr>
              <w:t xml:space="preserve">ISIN: </w:t>
            </w:r>
            <w:r w:rsidRPr="00293B1F">
              <w:rPr>
                <w:lang w:val="sv-SE"/>
              </w:rPr>
              <w:t xml:space="preserve">Avseende varje Tranch av Instrument kommer relevant ISIN att anges i de relevanta Slutliga Villkoren.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widowControl w:val="0"/>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widowControl w:val="0"/>
              <w:rPr>
                <w:b/>
                <w:bCs/>
                <w:i/>
                <w:iCs/>
                <w:lang w:val="sv-SE"/>
              </w:rPr>
            </w:pPr>
            <w:r w:rsidRPr="00293B1F">
              <w:rPr>
                <w:i/>
                <w:iCs/>
                <w:lang w:val="sv-SE"/>
              </w:rPr>
              <w:t xml:space="preserve">Instrumenten kommer att [clearas/avvecklas] genom [•]. Instrumenten har tilldelats följande ISIN: [•].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rPr>
            </w:pPr>
            <w:r w:rsidRPr="00293B1F">
              <w:rPr>
                <w:b/>
                <w:bCs/>
              </w:rPr>
              <w:t>C.2</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Valuta för emissionen av Lån</w:t>
            </w:r>
            <w:r w:rsidRPr="00293B1F">
              <w:rPr>
                <w:b/>
                <w:b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 xml:space="preserve">US dollar, euro, brittiska pund, svenska kronor, norska kronor, danska kronor, yen, polska zloty, ryska rubel, Hong Kong-dollar och/eller annan sådan valuta eller andra valutor som beslutas vid tidpunkten för emissionen, i enlighet med alla rättsliga och/eller regulatoriska och/eller krav från centralbanker.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rPr>
                <w:b/>
                <w:bCs/>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left"/>
              <w:rPr>
                <w:b/>
                <w:bCs/>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rPr>
                <w:i/>
              </w:rPr>
            </w:pPr>
            <w:r w:rsidRPr="00293B1F">
              <w:rPr>
                <w:i/>
              </w:rPr>
              <w:t xml:space="preserve">Valutan för Instrumenten är </w:t>
            </w:r>
            <w:r w:rsidRPr="00293B1F">
              <w:rPr>
                <w:i/>
                <w:iCs/>
              </w:rPr>
              <w:t xml:space="preserve">[•]. </w:t>
            </w:r>
          </w:p>
        </w:tc>
      </w:tr>
      <w:tr w:rsidTr="003722D9">
        <w:tblPrEx>
          <w:tblW w:w="5000" w:type="pct"/>
          <w:tblLayout w:type="fixed"/>
          <w:tblLook w:val="0000"/>
        </w:tblPrEx>
        <w:trPr>
          <w:cantSplit/>
          <w:trHeight w:val="882"/>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rPr>
            </w:pPr>
            <w:r w:rsidRPr="00293B1F">
              <w:rPr>
                <w:b/>
                <w:bCs/>
              </w:rPr>
              <w:t>C.5</w:t>
            </w: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rPr>
            </w:pPr>
            <w:r w:rsidRPr="00293B1F">
              <w:rPr>
                <w:rFonts w:eastAsiaTheme="minorEastAsia"/>
                <w:b/>
                <w:bCs/>
              </w:rPr>
              <w:t>Fri överlåtbarhet</w:t>
            </w:r>
            <w:r w:rsidRPr="00293B1F">
              <w:rPr>
                <w:b/>
                <w:bCs/>
              </w:rPr>
              <w:t>:</w:t>
            </w:r>
          </w:p>
        </w:tc>
        <w:tc>
          <w:tcPr>
            <w:tcW w:w="3661" w:type="pct"/>
            <w:tcBorders>
              <w:top w:val="single" w:sz="4" w:space="0" w:color="auto"/>
              <w:left w:val="single" w:sz="4" w:space="0" w:color="auto"/>
              <w:right w:val="single" w:sz="4" w:space="0" w:color="auto"/>
            </w:tcBorders>
          </w:tcPr>
          <w:p w:rsidR="00E55762" w:rsidRPr="00AF2F49" w:rsidP="003722D9">
            <w:pPr>
              <w:pStyle w:val="BodyText"/>
              <w:keepNext/>
              <w:rPr>
                <w:lang w:val="sv-SE"/>
              </w:rPr>
            </w:pPr>
            <w:r w:rsidRPr="00293B1F">
              <w:rPr>
                <w:rFonts w:eastAsiaTheme="minorEastAsia"/>
                <w:lang w:val="sv-SE"/>
              </w:rPr>
              <w:t xml:space="preserve">Detta Grundprospekt innehåller en sammanfattning av vissa säljrestriktioner inom USA, det </w:t>
            </w:r>
            <w:r>
              <w:fldChar w:fldCharType="begin"/>
            </w:r>
            <w:r>
              <w:instrText xml:space="preserve"> HYPERLINK "http://sv.bab.la/lexikon/svensk-engelsk/europeiska-ekonomiska-samarbetsomr%C3%A5det" </w:instrText>
            </w:r>
            <w:r>
              <w:fldChar w:fldCharType="separate"/>
            </w:r>
            <w:r w:rsidRPr="00293B1F">
              <w:rPr>
                <w:rFonts w:eastAsiaTheme="minorEastAsia"/>
                <w:lang w:val="sv-SE"/>
              </w:rPr>
              <w:t>Europeiska Ekonomiska Samarbetsområdet</w:t>
            </w:r>
            <w:r>
              <w:fldChar w:fldCharType="end"/>
            </w:r>
            <w:r w:rsidRPr="00293B1F">
              <w:rPr>
                <w:rFonts w:eastAsiaTheme="minorEastAsia"/>
                <w:lang w:val="sv-SE"/>
              </w:rPr>
              <w:t xml:space="preserve">, Storbritannien, </w:t>
            </w:r>
            <w:r w:rsidRPr="00AF2F49">
              <w:rPr>
                <w:rFonts w:eastAsiaTheme="minorEastAsia"/>
                <w:lang w:val="sv-SE"/>
              </w:rPr>
              <w:t>Danmark, Finland, Irland, Norge och Sverige.</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rFonts w:eastAsiaTheme="minorEastAsia"/>
                <w:lang w:val="sv-SE"/>
              </w:rPr>
            </w:pPr>
            <w:r w:rsidRPr="00AF2F49">
              <w:rPr>
                <w:rFonts w:eastAsiaTheme="minorEastAsia"/>
                <w:lang w:val="sv-SE"/>
              </w:rPr>
              <w:t>Lånen har inte och kommer inte at</w:t>
            </w:r>
            <w:r>
              <w:rPr>
                <w:rFonts w:eastAsiaTheme="minorEastAsia"/>
                <w:lang w:val="sv-SE"/>
              </w:rPr>
              <w:t>t registreras i enlighet med</w:t>
            </w:r>
            <w:r w:rsidRPr="00AF2F49">
              <w:rPr>
                <w:rFonts w:eastAsiaTheme="minorEastAsia"/>
                <w:lang w:val="sv-SE"/>
              </w:rPr>
              <w:t xml:space="preserve"> </w:t>
            </w:r>
            <w:r>
              <w:rPr>
                <w:rFonts w:eastAsiaTheme="minorEastAsia"/>
                <w:lang w:val="sv-SE"/>
              </w:rPr>
              <w:t xml:space="preserve">the </w:t>
            </w:r>
            <w:r w:rsidRPr="00AF2F49">
              <w:rPr>
                <w:rFonts w:eastAsiaTheme="minorEastAsia"/>
                <w:lang w:val="sv-SE"/>
              </w:rPr>
              <w:t>United States Securities Act of 1933 ("</w:t>
            </w:r>
            <w:r w:rsidRPr="00F27FCD">
              <w:rPr>
                <w:rFonts w:eastAsiaTheme="minorEastAsia"/>
                <w:b/>
                <w:lang w:val="sv-SE"/>
              </w:rPr>
              <w:t>Securities Act</w:t>
            </w:r>
            <w:r w:rsidRPr="00AF2F49">
              <w:rPr>
                <w:rFonts w:eastAsiaTheme="minorEastAsia"/>
                <w:lang w:val="sv-SE"/>
              </w:rPr>
              <w:t>") och får inte erbjudas eller säljas inom USA eller till amerikanska medborgare eller för deras räkning, förutom i vissa transaktioner som är undantagna från registreringskraven i Securities Act.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sidRPr="00F27FCD">
              <w:rPr>
                <w:rFonts w:eastAsiaTheme="minorEastAsia"/>
                <w:lang w:val="sv-SE"/>
              </w:rPr>
              <w:t>För varje medlemsstat i det Europeiska Ekonomiska Samarbetsområdet som har genomfört prospektdirektivet, inklusive konungariket Sverige (envar en "Relevant Medlemsstat"), har varje emissionsinstitut som utsetts under Programmet (envar ett "Emissionsinstitut") utfäst och godkänt, och varje ytterligare Emissionsinstitut som utses under Programmet kommer att behöva utfästa och godkänna, att från och med det datum då Prospektdirektivet genomförs i den Relevanta Medlemsstaten ("</w:t>
            </w:r>
            <w:r w:rsidRPr="00F27FCD">
              <w:rPr>
                <w:rFonts w:eastAsiaTheme="minorEastAsia"/>
                <w:b/>
                <w:lang w:val="sv-SE"/>
              </w:rPr>
              <w:t>Relevanta Implementeringsdatumet</w:t>
            </w:r>
            <w:r w:rsidRPr="00F27FCD">
              <w:rPr>
                <w:rFonts w:eastAsiaTheme="minorEastAsia"/>
                <w:lang w:val="sv-SE"/>
              </w:rPr>
              <w:t>"), har Emissionsinstitutet inte gjort och kommer inte att göra något erbjudande om Lån till allmänheten i den Relevanta Medlemsstaten utom med Emittent</w:t>
            </w:r>
            <w:r>
              <w:rPr>
                <w:rFonts w:eastAsiaTheme="minorEastAsia"/>
                <w:lang w:val="sv-SE"/>
              </w:rPr>
              <w:t>en</w:t>
            </w:r>
            <w:r w:rsidRPr="00F27FCD">
              <w:rPr>
                <w:rFonts w:eastAsiaTheme="minorEastAsia"/>
                <w:lang w:val="sv-SE"/>
              </w:rPr>
              <w:t>s</w:t>
            </w:r>
            <w:r>
              <w:rPr>
                <w:rStyle w:val="FootnoteReference"/>
                <w:lang w:val="sv-SE"/>
              </w:rPr>
              <w:footnoteReference w:id="27"/>
            </w:r>
            <w:r w:rsidRPr="00F27FCD">
              <w:rPr>
                <w:rFonts w:eastAsiaTheme="minorEastAsia"/>
                <w:lang w:val="sv-SE"/>
              </w:rPr>
              <w:t xml:space="preserve"> samtycke lämnat i enlighet med avsnitt A.2 ovan.</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Varje Auktoriserad Säljare kommer att behöva utfästa och godkänna att den har agerat i enlighet med, och fortsättningsvis kommer att agera i enlighet med, alla tillämpliga bestämmelser i Financial Services and Markets Act 2000 (</w:t>
            </w:r>
            <w:r>
              <w:rPr>
                <w:lang w:val="sv-SE"/>
              </w:rPr>
              <w:t>"</w:t>
            </w:r>
            <w:r w:rsidRPr="00293B1F">
              <w:rPr>
                <w:b/>
                <w:lang w:val="sv-SE"/>
              </w:rPr>
              <w:t>FSMA</w:t>
            </w:r>
            <w:r>
              <w:rPr>
                <w:lang w:val="sv-SE"/>
              </w:rPr>
              <w:t>"</w:t>
            </w:r>
            <w:r w:rsidRPr="00293B1F">
              <w:rPr>
                <w:lang w:val="sv-SE"/>
              </w:rPr>
              <w:t xml:space="preserve">) avseende alla handlingar som den utför i förhållande till något Instrument i, från eller som på annat sätt involverar Storbritannien. </w:t>
            </w:r>
          </w:p>
        </w:tc>
      </w:tr>
      <w:tr w:rsidTr="003722D9">
        <w:tblPrEx>
          <w:tblW w:w="5000" w:type="pct"/>
          <w:tblLayout w:type="fixed"/>
          <w:tblLook w:val="0000"/>
        </w:tblPrEx>
        <w:trPr>
          <w:cantSplit/>
          <w:trHeight w:val="2166"/>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widowControl w:val="0"/>
              <w:rPr>
                <w:b/>
                <w:bCs/>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widowControl w:val="0"/>
              <w:jc w:val="left"/>
              <w:rPr>
                <w:b/>
                <w:bCs/>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widowControl w:val="0"/>
              <w:rPr>
                <w:lang w:val="sv-SE"/>
              </w:rPr>
            </w:pPr>
            <w:r w:rsidRPr="00293B1F">
              <w:rPr>
                <w:rFonts w:eastAsiaTheme="minorEastAsia"/>
                <w:lang w:val="sv-SE"/>
              </w:rPr>
              <w:t xml:space="preserve">Varje Auktoriserad Säljare kommer att behöva utfästa och godkänna att, i förhållande till varje erbjudande eller försäljning av Instrument på Irland, den kommer att uppfylla: villkoren i Europeiska Gemenskapernas (Marknader för Finansiella Instrument) Förordning 2007 (nr 1 till 3) (såsom ändrad), inklusive, utan begränsning, Förordning 7 och 152 därav eller andra förhållningsregler som används i samband därmed och villkoren i </w:t>
            </w:r>
            <w:bookmarkStart w:id="7" w:name="FIELD_SE"/>
            <w:r w:rsidRPr="00293B1F">
              <w:rPr>
                <w:rFonts w:eastAsiaTheme="minorEastAsia"/>
                <w:lang w:val="sv-SE"/>
              </w:rPr>
              <w:t xml:space="preserve">Investor Compensation Act 1998; villkoren i Companies Acts 2014 (såsom ändrad), Central Bank Acts 1942 to 2014 (såsom ändrad) och varje annan förhållningsregel som utfärdats under avsnitt 117(1) i Central Bank Act 1989; och villkoren i Market Abuse (Direktiv 2003/6/EG) Direktivet 2005 (såsom ändrad) och varje regel som utfärdats enligt avsnitt </w:t>
            </w:r>
            <w:bookmarkEnd w:id="7"/>
            <w:r w:rsidRPr="00293B1F">
              <w:rPr>
                <w:rFonts w:eastAsiaTheme="minorEastAsia"/>
                <w:lang w:val="sv-SE"/>
              </w:rPr>
              <w:t>1370 i Companies Act 2014.</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lang w:val="sv-SE"/>
              </w:rPr>
              <w:t xml:space="preserve">Varje Auktoriserad Säljare kommer att behöva godkänna och utfästa att den har agerat, och kommer att agera, i enlighet med varje tillämplig bestämmelse i den estniska värdepappersmarknadslagen med avseende på allt den gör i förhållande till något Instrument i, från eller som på annat sätt involverar Estland. </w:t>
            </w:r>
          </w:p>
          <w:p w:rsidR="00E55762" w:rsidRPr="00293B1F" w:rsidP="003722D9">
            <w:pPr>
              <w:pStyle w:val="BodyText"/>
              <w:rPr>
                <w:lang w:val="sv-SE"/>
              </w:rPr>
            </w:pPr>
            <w:r w:rsidRPr="00293B1F">
              <w:rPr>
                <w:lang w:val="sv-SE"/>
              </w:rPr>
              <w:t xml:space="preserve">Instrument som faller in under begreppet </w:t>
            </w:r>
            <w:r>
              <w:rPr>
                <w:lang w:val="sv-SE"/>
              </w:rPr>
              <w:t>"</w:t>
            </w:r>
            <w:r w:rsidRPr="00293B1F">
              <w:rPr>
                <w:lang w:val="sv-SE"/>
              </w:rPr>
              <w:t>derivatinstrument</w:t>
            </w:r>
            <w:r>
              <w:rPr>
                <w:lang w:val="sv-SE"/>
              </w:rPr>
              <w:t>"</w:t>
            </w:r>
            <w:r w:rsidRPr="00293B1F">
              <w:rPr>
                <w:lang w:val="sv-SE"/>
              </w:rPr>
              <w:t xml:space="preserve"> enligt Avsnitt 2 i SMA, direktiv 2004/39/EG (MiFID-direktivet) och Kommissionens förordning Nr. EG/1287/2006 (Implementeeringsförordningen för MiFID), samtliga såsom ändrade från tid till annan, får endast erbjudas i Estland efter lämplighets- och vederbörlighetsbedömning av det relevanta strukturerade instrumentet för investeraren i enlighet med tillämplig estnisk och europeisk lagstiftning.</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lang w:val="sv-SE"/>
              </w:rPr>
              <w:t>Varje Auktoriserad Säljare kommer att behöva utfästa och godkänna att Instrumenten inte har erbjudits eller kommer erbjudas i Litauen genom erbjudande till allmänheten såvida detta inte är i enlighet med alla tillämpliga bestämmelser under Litauens lagar och i synnerhet i enlighet med lagen om värdepapper i Republiken Litauen från 18 januari 2007 Nr. X-1023 och alla föreskrifter eller regler som gjorts därunder, såsom ändrad från tid till annan.</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b/>
                <w:bCs/>
                <w:lang w:val="sv-SE"/>
              </w:rPr>
            </w:pPr>
            <w:r w:rsidRPr="00293B1F">
              <w:rPr>
                <w:lang w:val="sv-SE"/>
              </w:rPr>
              <w:t>Varje Auktoriserad Säljare kommer att behöva utfästa och godkänna att Instrument inte har erbjudits och inte kommer erbjudas i Lettland genom erbjudande till allmänheten, såvida inte detta sker i enlighet med lagstiftningen i Lettland och i synnerhet med den lettiska lagen om finansiella instrument (</w:t>
            </w:r>
            <w:r w:rsidRPr="00293B1F">
              <w:rPr>
                <w:i/>
                <w:lang w:val="sv-SE"/>
              </w:rPr>
              <w:t>Finanšu instrumentu tirgus likums</w:t>
            </w:r>
            <w:r w:rsidRPr="00293B1F">
              <w:rPr>
                <w:lang w:val="sv-SE"/>
              </w:rPr>
              <w:t>) och varje förordning därunder, såsom kompletterade eller ändrad från tid till annan.</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lang w:val="sv-SE"/>
              </w:rPr>
              <w:t xml:space="preserve">Varje Auktoriserad Säljare kommer att behöva utfästa och godkänna att </w:t>
            </w:r>
            <w:r w:rsidRPr="00293B1F">
              <w:rPr>
                <w:rFonts w:eastAsiaTheme="minorEastAsia"/>
                <w:lang w:val="sv-SE"/>
              </w:rPr>
              <w:t>den inte har erbjudit eller sålt och inte heller kommer erbjuda, sälja eller leverera något Instrument direkt eller indirekt i Danmark genom erbjudande till allmänheten, såvida inte detta sker i enlighet med den danska lagen om värdepappershandel (</w:t>
            </w:r>
            <w:r w:rsidRPr="00293B1F">
              <w:rPr>
                <w:rFonts w:eastAsiaTheme="minorEastAsia"/>
                <w:i/>
                <w:iCs/>
                <w:lang w:val="sv-SE"/>
              </w:rPr>
              <w:t>Værdipapirhandelsloven</w:t>
            </w:r>
            <w:r w:rsidRPr="00293B1F">
              <w:rPr>
                <w:rFonts w:eastAsiaTheme="minorEastAsia"/>
                <w:iCs/>
                <w:lang w:val="sv-SE"/>
              </w:rPr>
              <w:t>), såsom ändrad från tid till annan, och verkställande föreskrifter som utfärdats därunder.</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Varje Auktoriserad Säljare kommer att behöva utfästa och godkänna att den inte kommer erbjuda Instrumenten till allmänheten i Finland, såvida detta inte sker i enlighet med varje tillämpliga finska lagbestämmelse, och särskilt i enlighet med den finska värdepapperslagen (495/1989) och varje bestämmelse därunder, såsom ändrad från tid till annan.</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Varje Auktoriserad Säljare kommer att behöva utfästa och godkänna, att den kommer lyda alla tillämpliga lagar, bestämmelser och riktlinjer för erbjudande av Instrumenten i Norge. Instrument i norska Krone kan inte erbjudas eller säljas inom Norge eller till personer med hemvist i Norge, eller för deras vägnar, såvida inte förordningen om erbjudandet av VPS-Instrument och registrering i VPS har åtlytts.</w:t>
            </w:r>
          </w:p>
        </w:tc>
      </w:tr>
      <w:tr w:rsidTr="003722D9">
        <w:tblPrEx>
          <w:tblW w:w="5000" w:type="pct"/>
          <w:tblLayout w:type="fixed"/>
          <w:tblLook w:val="0000"/>
        </w:tblPrEx>
        <w:trPr>
          <w:cantSplit/>
        </w:trPr>
        <w:tc>
          <w:tcPr>
            <w:tcW w:w="388" w:type="pct"/>
            <w:vMerge w:val="restar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rPr>
                <w:b/>
                <w:bCs/>
              </w:rPr>
            </w:pPr>
            <w:r w:rsidRPr="00293B1F">
              <w:rPr>
                <w:b/>
                <w:bCs/>
              </w:rPr>
              <w:t>C.8</w:t>
            </w:r>
          </w:p>
        </w:tc>
        <w:tc>
          <w:tcPr>
            <w:tcW w:w="951" w:type="pct"/>
            <w:vMerge w:val="restar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lang w:val="sv-SE"/>
              </w:rPr>
            </w:pPr>
            <w:r w:rsidRPr="00293B1F">
              <w:rPr>
                <w:rFonts w:eastAsiaTheme="minorEastAsia"/>
                <w:b/>
                <w:bCs/>
                <w:lang w:val="sv-SE"/>
              </w:rPr>
              <w:t>Rättigheter kopplade till Lånen, inklusive rangordning och begränsningar av sådana rättigheter</w:t>
            </w:r>
            <w:r w:rsidRPr="00293B1F">
              <w:rPr>
                <w:b/>
                <w:bCs/>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b/>
                <w:i/>
                <w:lang w:val="sv-SE"/>
              </w:rPr>
              <w:t xml:space="preserve">Instrumentens ställning: </w:t>
            </w:r>
            <w:r w:rsidRPr="00293B1F">
              <w:rPr>
                <w:lang w:val="sv-SE"/>
              </w:rPr>
              <w:t>Instrumenten utgör icke säkerställda och icke efterställda förpliktelser för Emittenten</w:t>
            </w:r>
            <w:r>
              <w:rPr>
                <w:rStyle w:val="FootnoteReference"/>
                <w:lang w:val="sv-SE"/>
              </w:rPr>
              <w:footnoteReference w:id="28"/>
            </w:r>
            <w:r w:rsidRPr="00293B1F">
              <w:rPr>
                <w:lang w:val="sv-SE"/>
              </w:rPr>
              <w:t xml:space="preserve"> och är i förmånsrättsligt hänseende </w:t>
            </w:r>
            <w:r w:rsidRPr="00293B1F">
              <w:rPr>
                <w:i/>
                <w:lang w:val="sv-SE"/>
              </w:rPr>
              <w:t>pari passu</w:t>
            </w:r>
            <w:r w:rsidRPr="00293B1F">
              <w:rPr>
                <w:lang w:val="sv-SE"/>
              </w:rPr>
              <w:t xml:space="preserve"> utan inbördes rangordning och åtminstone </w:t>
            </w:r>
            <w:r w:rsidRPr="00293B1F">
              <w:rPr>
                <w:i/>
                <w:lang w:val="sv-SE"/>
              </w:rPr>
              <w:t xml:space="preserve">pari passu </w:t>
            </w:r>
            <w:r w:rsidRPr="00293B1F">
              <w:rPr>
                <w:lang w:val="sv-SE"/>
              </w:rPr>
              <w:t>med</w:t>
            </w:r>
            <w:r>
              <w:rPr>
                <w:lang w:val="sv-SE"/>
              </w:rPr>
              <w:t xml:space="preserve"> Emittentens alla övriga nuvarande och framtida </w:t>
            </w:r>
            <w:r w:rsidRPr="00293B1F">
              <w:rPr>
                <w:lang w:val="sv-SE"/>
              </w:rPr>
              <w:t xml:space="preserve">utestående icke säkerställda och </w:t>
            </w:r>
            <w:r>
              <w:rPr>
                <w:lang w:val="sv-SE"/>
              </w:rPr>
              <w:t>icke efterställda förpliktelser.</w:t>
            </w:r>
          </w:p>
        </w:tc>
      </w:tr>
      <w:tr w:rsidTr="003722D9">
        <w:tblPrEx>
          <w:tblW w:w="5000" w:type="pct"/>
          <w:tblLayout w:type="fixed"/>
          <w:tblLook w:val="0000"/>
        </w:tblPrEx>
        <w:trPr>
          <w:cantSplit/>
        </w:trPr>
        <w:tc>
          <w:tcPr>
            <w:tcW w:w="388" w:type="pct"/>
            <w:vMerge/>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951" w:type="pct"/>
            <w:vMerge/>
            <w:tcBorders>
              <w:top w:val="single" w:sz="4" w:space="0" w:color="auto"/>
              <w:left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right w:val="single" w:sz="4" w:space="0" w:color="auto"/>
            </w:tcBorders>
          </w:tcPr>
          <w:p w:rsidR="00E55762" w:rsidRPr="00293B1F" w:rsidP="003722D9">
            <w:pPr>
              <w:pStyle w:val="BodyText"/>
              <w:rPr>
                <w:bCs/>
                <w:iCs/>
                <w:lang w:val="sv-SE"/>
              </w:rPr>
            </w:pPr>
            <w:r w:rsidRPr="00293B1F">
              <w:rPr>
                <w:b/>
                <w:i/>
                <w:lang w:val="sv-SE"/>
              </w:rPr>
              <w:t xml:space="preserve">Åtagande att inte ställa säkerheter: </w:t>
            </w:r>
            <w:r w:rsidRPr="00293B1F">
              <w:rPr>
                <w:lang w:val="sv-SE"/>
              </w:rPr>
              <w:t xml:space="preserve">Inget.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pPr>
            <w:r w:rsidRPr="00293B1F">
              <w:rPr>
                <w:b/>
                <w:i/>
              </w:rPr>
              <w:t>Korsvisa uppsägningsgrunder</w:t>
            </w:r>
            <w:r w:rsidRPr="00293B1F">
              <w:rPr>
                <w:b/>
              </w:rPr>
              <w:t xml:space="preserve">: </w:t>
            </w:r>
            <w:r w:rsidRPr="00293B1F">
              <w:t xml:space="preserve">Inga.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rPr>
            </w:pPr>
          </w:p>
        </w:tc>
        <w:tc>
          <w:tcPr>
            <w:tcW w:w="951" w:type="pct"/>
            <w:tcBorders>
              <w:top w:val="single" w:sz="4" w:space="0" w:color="auto"/>
              <w:left w:val="single" w:sz="4" w:space="0" w:color="auto"/>
              <w:right w:val="single" w:sz="4" w:space="0" w:color="auto"/>
            </w:tcBorders>
          </w:tcPr>
          <w:p w:rsidR="00E55762" w:rsidRPr="00293B1F" w:rsidP="003722D9">
            <w:pPr>
              <w:pStyle w:val="BodyText"/>
              <w:rPr>
                <w:b/>
                <w:bCs/>
              </w:rPr>
            </w:pPr>
          </w:p>
        </w:tc>
        <w:tc>
          <w:tcPr>
            <w:tcW w:w="3661" w:type="pct"/>
            <w:tcBorders>
              <w:top w:val="single" w:sz="4" w:space="0" w:color="auto"/>
              <w:left w:val="single" w:sz="4" w:space="0" w:color="auto"/>
              <w:right w:val="single" w:sz="4" w:space="0" w:color="auto"/>
            </w:tcBorders>
          </w:tcPr>
          <w:p w:rsidR="00E55762" w:rsidRPr="00293B1F" w:rsidP="003722D9">
            <w:pPr>
              <w:pStyle w:val="BodyText"/>
              <w:rPr>
                <w:bCs/>
                <w:iCs/>
                <w:lang w:val="sv-SE"/>
              </w:rPr>
            </w:pPr>
            <w:r w:rsidRPr="00293B1F">
              <w:rPr>
                <w:b/>
                <w:bCs/>
                <w:i/>
                <w:iCs/>
                <w:lang w:val="sv-SE"/>
              </w:rPr>
              <w:t xml:space="preserve">Förtida uppsägning: </w:t>
            </w:r>
            <w:r w:rsidRPr="00293B1F">
              <w:rPr>
                <w:bCs/>
                <w:iCs/>
                <w:lang w:val="sv-SE"/>
              </w:rPr>
              <w:t>Emittenten</w:t>
            </w:r>
            <w:r w:rsidRPr="00D633E0">
              <w:rPr>
                <w:rFonts w:ascii="Times New Roman Bold" w:hAnsi="Times New Roman Bold"/>
                <w:b/>
                <w:vertAlign w:val="superscript"/>
                <w:lang w:val="sv-SE"/>
              </w:rPr>
              <w:t>9</w:t>
            </w:r>
            <w:r w:rsidRPr="00293B1F">
              <w:rPr>
                <w:bCs/>
                <w:iCs/>
                <w:lang w:val="sv-SE"/>
              </w:rPr>
              <w:t xml:space="preserve"> kan ha rätt att säga upp Instrumenten till betalning under vissa omständigheter. Innehavarna kan också ha möjlighet att kräva förtida återinlösen av Instrumenten, om tillämpligt.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right w:val="single" w:sz="4" w:space="0" w:color="auto"/>
            </w:tcBorders>
          </w:tcPr>
          <w:p w:rsidR="00E55762" w:rsidRPr="00293B1F" w:rsidP="003722D9">
            <w:pPr>
              <w:pStyle w:val="BodyText"/>
              <w:rPr>
                <w:bCs/>
                <w:i/>
                <w:iCs/>
                <w:lang w:val="sv-SE"/>
              </w:rPr>
            </w:pPr>
            <w:r w:rsidRPr="00293B1F">
              <w:rPr>
                <w:bCs/>
                <w:i/>
                <w:iCs/>
                <w:lang w:val="sv-SE"/>
              </w:rPr>
              <w:t xml:space="preserve">Innehavarna [har/har inte] rätt att kräva förtida återinlösen av Instrumenten.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right w:val="single" w:sz="4" w:space="0" w:color="auto"/>
            </w:tcBorders>
          </w:tcPr>
          <w:p w:rsidR="00E55762" w:rsidRPr="00293B1F" w:rsidP="003722D9">
            <w:pPr>
              <w:pStyle w:val="BodyText"/>
              <w:rPr>
                <w:lang w:val="sv-SE"/>
              </w:rPr>
            </w:pPr>
            <w:r w:rsidRPr="00293B1F">
              <w:rPr>
                <w:b/>
                <w:i/>
                <w:iCs/>
                <w:lang w:val="sv-SE"/>
              </w:rPr>
              <w:t xml:space="preserve">Tillämplig lag: </w:t>
            </w:r>
            <w:r w:rsidRPr="00293B1F">
              <w:rPr>
                <w:iCs/>
                <w:lang w:val="sv-SE"/>
              </w:rPr>
              <w:t xml:space="preserve">Instrumenten och alla utomobligatoriska förpliktelser som kan uppstå ur eller i samband med Instrumenten styrs antingen av engelsk rätt, svensk rätt, finsk rätt, norsk rätt eller dansk rätt, förutom att (i) registrering av Instrumenten hos Euroclear Sweden styrs av svensk rätt, (ii) registrering av Instrumenten hos Euroclear Finland styrs av finsk rätt, (iii) registrering av Instrumenten hos VP styrs av dansk rätt och (iv) registrering av Instrumenten hos VPS styrs av norsk rätt.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right w:val="single" w:sz="4" w:space="0" w:color="auto"/>
            </w:tcBorders>
          </w:tcPr>
          <w:p w:rsidR="00E55762" w:rsidRPr="00293B1F" w:rsidP="003722D9">
            <w:pPr>
              <w:pStyle w:val="BodyText"/>
              <w:rPr>
                <w:b/>
                <w:bCs/>
                <w:i/>
                <w:iCs/>
                <w:lang w:val="sv-SE"/>
              </w:rPr>
            </w:pPr>
            <w:r w:rsidRPr="00293B1F">
              <w:rPr>
                <w:i/>
                <w:iCs/>
                <w:lang w:val="sv-SE"/>
              </w:rPr>
              <w:t xml:space="preserve">Instrumenten styrs av [engelsk rätt/finsk rätt/dansk rätt/svensk rätt/norsk rätt].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right w:val="single" w:sz="4" w:space="0" w:color="auto"/>
            </w:tcBorders>
          </w:tcPr>
          <w:p w:rsidR="00E55762" w:rsidRPr="00293B1F" w:rsidP="003722D9">
            <w:pPr>
              <w:pStyle w:val="BodyText"/>
              <w:rPr>
                <w:bCs/>
                <w:iCs/>
                <w:lang w:val="sv-SE"/>
              </w:rPr>
            </w:pPr>
            <w:r w:rsidRPr="00293B1F">
              <w:rPr>
                <w:b/>
                <w:i/>
                <w:lang w:val="sv-SE"/>
              </w:rPr>
              <w:t xml:space="preserve">Verkställighet av Instrumenten i Global Form: </w:t>
            </w:r>
            <w:r w:rsidRPr="00293B1F">
              <w:rPr>
                <w:lang w:val="sv-SE"/>
              </w:rPr>
              <w:t>Gällande Globala Instrument kommer den individuelle investerarens rättigheter mot Emittenten</w:t>
            </w:r>
            <w:r w:rsidRPr="00D633E0">
              <w:rPr>
                <w:rFonts w:ascii="Times New Roman Bold" w:hAnsi="Times New Roman Bold"/>
                <w:b/>
                <w:vertAlign w:val="superscript"/>
                <w:lang w:val="sv-SE"/>
              </w:rPr>
              <w:t>9</w:t>
            </w:r>
            <w:r w:rsidRPr="00293B1F">
              <w:rPr>
                <w:lang w:val="sv-SE"/>
              </w:rPr>
              <w:t xml:space="preserve"> att styras av ett sidoavtal daterat 10 juni 2016 (</w:t>
            </w:r>
            <w:r>
              <w:rPr>
                <w:lang w:val="sv-SE"/>
              </w:rPr>
              <w:t>"</w:t>
            </w:r>
            <w:r w:rsidRPr="00293B1F">
              <w:rPr>
                <w:b/>
                <w:lang w:val="sv-SE"/>
              </w:rPr>
              <w:t>Sidoavtalet</w:t>
            </w:r>
            <w:r>
              <w:rPr>
                <w:lang w:val="sv-SE"/>
              </w:rPr>
              <w:t>"</w:t>
            </w:r>
            <w:r w:rsidRPr="00293B1F">
              <w:rPr>
                <w:lang w:val="sv-SE"/>
              </w:rPr>
              <w:t>), en kopia av vilket kommer att finnas tillgänglig för inspektion på det angivna kontoret för Citibank, N.A., London Branch som fiscal agent (</w:t>
            </w:r>
            <w:r>
              <w:rPr>
                <w:lang w:val="sv-SE"/>
              </w:rPr>
              <w:t>"</w:t>
            </w:r>
            <w:r w:rsidRPr="00293B1F">
              <w:rPr>
                <w:b/>
                <w:lang w:val="sv-SE"/>
              </w:rPr>
              <w:t>Fiscal Agent</w:t>
            </w:r>
            <w:r>
              <w:rPr>
                <w:b/>
                <w:lang w:val="sv-SE"/>
              </w:rPr>
              <w:fldChar w:fldCharType="begin"/>
            </w:r>
            <w:r w:rsidRPr="0067412A">
              <w:rPr>
                <w:lang w:val="sv-SE"/>
              </w:rPr>
              <w:instrText xml:space="preserve"> XE "</w:instrText>
            </w:r>
            <w:r w:rsidRPr="006579A1">
              <w:rPr>
                <w:lang w:val="sv-SE"/>
              </w:rPr>
              <w:instrText>Fiscal Agent</w:instrText>
            </w:r>
            <w:r w:rsidRPr="0067412A">
              <w:rPr>
                <w:lang w:val="sv-SE"/>
              </w:rPr>
              <w:instrText xml:space="preserve">" </w:instrText>
            </w:r>
            <w:r>
              <w:rPr>
                <w:b/>
                <w:lang w:val="sv-SE"/>
              </w:rPr>
              <w:fldChar w:fldCharType="end"/>
            </w:r>
            <w:r>
              <w:rPr>
                <w:lang w:val="sv-SE"/>
              </w:rPr>
              <w:t>"</w:t>
            </w:r>
            <w:r w:rsidRPr="00293B1F">
              <w:rPr>
                <w:lang w:val="sv-SE"/>
              </w:rPr>
              <w: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bCs/>
                <w:i/>
                <w:iCs/>
                <w:lang w:val="sv-SE"/>
              </w:rPr>
            </w:pPr>
            <w:r w:rsidRPr="00293B1F">
              <w:rPr>
                <w:bCs/>
                <w:i/>
                <w:iCs/>
                <w:lang w:val="sv-SE"/>
              </w:rPr>
              <w:t xml:space="preserve">Instrumenten [är/är inte] Globala Instrument.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widowControl w:val="0"/>
              <w:rPr>
                <w:b/>
                <w:bCs/>
                <w:noProof/>
              </w:rPr>
            </w:pPr>
            <w:r w:rsidRPr="00293B1F">
              <w:rPr>
                <w:b/>
                <w:bCs/>
                <w:noProof/>
              </w:rPr>
              <w:t>C.11</w:t>
            </w:r>
          </w:p>
          <w:p w:rsidR="00E55762" w:rsidRPr="00293B1F" w:rsidP="003722D9">
            <w:pPr>
              <w:pStyle w:val="BodyText"/>
              <w:widowControl w:val="0"/>
              <w:rPr>
                <w:b/>
                <w:bCs/>
                <w:noProof/>
              </w:rPr>
            </w:pPr>
            <w:r w:rsidRPr="00293B1F">
              <w:rPr>
                <w:b/>
                <w:bCs/>
                <w:noProof/>
              </w:rPr>
              <w:t>C.21</w:t>
            </w:r>
          </w:p>
        </w:tc>
        <w:tc>
          <w:tcPr>
            <w:tcW w:w="951" w:type="pct"/>
            <w:tcBorders>
              <w:top w:val="single" w:sz="4" w:space="0" w:color="auto"/>
              <w:left w:val="single" w:sz="4" w:space="0" w:color="auto"/>
              <w:right w:val="single" w:sz="4" w:space="0" w:color="auto"/>
            </w:tcBorders>
          </w:tcPr>
          <w:p w:rsidR="00E55762" w:rsidRPr="00293B1F" w:rsidP="003722D9">
            <w:pPr>
              <w:pStyle w:val="BodyText"/>
              <w:widowControl w:val="0"/>
              <w:jc w:val="left"/>
              <w:rPr>
                <w:b/>
                <w:bCs/>
                <w:noProof/>
                <w:lang w:val="sv-SE"/>
              </w:rPr>
            </w:pPr>
            <w:r w:rsidRPr="00293B1F">
              <w:rPr>
                <w:rFonts w:eastAsiaTheme="minorEastAsia"/>
                <w:b/>
                <w:bCs/>
                <w:noProof/>
                <w:lang w:val="sv-SE"/>
              </w:rPr>
              <w:t>Upptagande till handel på en reglerad marknad</w:t>
            </w:r>
            <w:r w:rsidRPr="00293B1F">
              <w:rPr>
                <w:b/>
                <w:bCs/>
                <w:noProof/>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lang w:val="sv-SE"/>
              </w:rPr>
            </w:pPr>
            <w:r w:rsidRPr="00293B1F">
              <w:rPr>
                <w:rFonts w:eastAsiaTheme="minorEastAsia"/>
                <w:lang w:val="sv-SE"/>
              </w:rPr>
              <w:t xml:space="preserve">Ansökningar har gjorts för att Instrumenten inom en period av tolv månader från detta datum ska bli godkända för notering på den officiella listan och för handel på den reglerade marknaden Irish Stock Market Exchange. Instrumenten kan också upptas till handel på NASDAQ Stockholm, NASDAQ Helsinki, NASDAQ Copenhagen, </w:t>
            </w:r>
            <w:r w:rsidRPr="00293B1F">
              <w:rPr>
                <w:iCs/>
                <w:lang w:val="sv-SE"/>
              </w:rPr>
              <w:t xml:space="preserve">Oslo Børs samt Nordic Growth Market NGM AB – NDX (Nordic Derivatives Exchange). Programmet tillåter även att Instrumenten emitteras på basis att de inte kommer noteras eller tas upp till handel på någon börs eller handelsplatser, eller att de kommer noteras eller tas upp till handel på sådana börser eller handelsplatser som kan </w:t>
            </w:r>
            <w:r w:rsidRPr="00293B1F">
              <w:rPr>
                <w:rFonts w:eastAsiaTheme="minorEastAsia"/>
                <w:lang w:val="sv-SE"/>
              </w:rPr>
              <w:t>avtalas om med Emittenten.</w:t>
            </w:r>
            <w:r>
              <w:rPr>
                <w:rStyle w:val="FootnoteReference"/>
                <w:lang w:val="sv-SE"/>
              </w:rPr>
              <w:footnoteReference w:id="29"/>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widowControl w:val="0"/>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widowControl w:val="0"/>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i/>
                <w:lang w:val="sv-SE"/>
              </w:rPr>
            </w:pPr>
            <w:r w:rsidRPr="00293B1F">
              <w:rPr>
                <w:i/>
                <w:iCs/>
                <w:lang w:val="sv-SE"/>
              </w:rPr>
              <w:t>Instrumenten är icke-noterade Instrument/Ansökan kommer göras för att Instrumenten ska noteras på [ ] och tas upp till handel på [ ] med verkan från [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rPr>
            </w:pPr>
            <w:r w:rsidRPr="00293B1F">
              <w:rPr>
                <w:b/>
                <w:bCs/>
                <w:noProof/>
              </w:rPr>
              <w:t>C.15</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lang w:val="sv-SE"/>
              </w:rPr>
            </w:pPr>
            <w:r w:rsidRPr="00293B1F">
              <w:rPr>
                <w:rFonts w:eastAsiaTheme="minorEastAsia"/>
                <w:b/>
                <w:bCs/>
                <w:noProof/>
                <w:lang w:val="sv-SE"/>
              </w:rPr>
              <w:t>Lånens värde och värdet för det underliggande</w:t>
            </w:r>
            <w:r w:rsidRPr="00293B1F">
              <w:rPr>
                <w:b/>
                <w:bCs/>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iCs/>
                <w:lang w:val="sv-SE"/>
              </w:rPr>
            </w:pPr>
            <w:r w:rsidRPr="00293B1F">
              <w:rPr>
                <w:b/>
                <w:i/>
                <w:iCs/>
                <w:lang w:val="sv-SE"/>
              </w:rPr>
              <w:t xml:space="preserve">Instrumenten och underliggande tillgångar: </w:t>
            </w:r>
            <w:r w:rsidRPr="00293B1F">
              <w:rPr>
                <w:iCs/>
                <w:lang w:val="sv-SE"/>
              </w:rPr>
              <w:t>Instrumenten består av värdepapper i form av warranter och certifikat (</w:t>
            </w:r>
            <w:r>
              <w:rPr>
                <w:iCs/>
                <w:lang w:val="sv-SE"/>
              </w:rPr>
              <w:t>"</w:t>
            </w:r>
            <w:r w:rsidRPr="00293B1F">
              <w:rPr>
                <w:b/>
                <w:iCs/>
                <w:lang w:val="sv-SE"/>
              </w:rPr>
              <w:t>Instrumenten</w:t>
            </w:r>
            <w:r>
              <w:rPr>
                <w:iCs/>
                <w:lang w:val="sv-SE"/>
              </w:rPr>
              <w:t>"</w:t>
            </w:r>
            <w:r w:rsidRPr="00293B1F">
              <w:rPr>
                <w:iCs/>
                <w:lang w:val="sv-SE"/>
              </w:rPr>
              <w:t xml:space="preserve">). Värdet på Instrumenten beror av värdet på de underliggande tillgångar och den avkastning, ränta och avkastningsstruktur som gäller för Instrumenten.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i/>
                <w:iCs/>
                <w:lang w:val="sv-SE"/>
              </w:rPr>
            </w:pPr>
            <w:r w:rsidRPr="00293B1F">
              <w:rPr>
                <w:b/>
                <w:i/>
                <w:iCs/>
                <w:lang w:val="sv-SE"/>
              </w:rPr>
              <w:t xml:space="preserve">Underliggande Tillgångar är: </w:t>
            </w:r>
            <w:r w:rsidRPr="00293B1F">
              <w:rPr>
                <w:i/>
                <w:iCs/>
                <w:lang w:val="sv-SE"/>
              </w:rPr>
              <w:t xml:space="preserve">[aktier] [index] [depåbevis] [obligationer] [växelkurser] [råvaror] [fonder] [räntor] [korgar] [terminer].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spacing w:after="240"/>
              <w:rPr>
                <w:szCs w:val="20"/>
                <w:lang w:val="sv-SE"/>
              </w:rPr>
            </w:pPr>
            <w:r w:rsidRPr="00293B1F">
              <w:rPr>
                <w:b/>
                <w:i/>
                <w:szCs w:val="20"/>
                <w:lang w:val="sv-SE"/>
              </w:rPr>
              <w:t>Warranter</w:t>
            </w:r>
            <w:r w:rsidRPr="00293B1F">
              <w:rPr>
                <w:szCs w:val="20"/>
                <w:lang w:val="sv-SE"/>
              </w:rPr>
              <w:t>: En warrant är ett finansiellt instrument som ger investeraren en exponering mot en viss underliggande tillgång, t.ex. ett värdepapper eller ett index. Warranter kan också ges ut som Turbowarranter, Marknadswarranter eller MINI Futures som beskrivs närmare nedan.</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pacing w:after="240"/>
              <w:rPr>
                <w:szCs w:val="20"/>
                <w:lang w:val="sv-SE"/>
              </w:rPr>
            </w:pPr>
            <w:r w:rsidRPr="00293B1F">
              <w:rPr>
                <w:szCs w:val="20"/>
                <w:lang w:val="sv-SE"/>
              </w:rPr>
              <w:t xml:space="preserve">Konstruktionen av warranter gör att prisutvecklingen i den underliggande tillgången påverkar värdet på warranterna och kan leda till större vinst eller förlust på investerat kapital än om placeringen hade gjorts direkt i den underliggande tillgången. </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pacing w:after="240"/>
              <w:rPr>
                <w:szCs w:val="20"/>
                <w:lang w:val="sv-SE"/>
              </w:rPr>
            </w:pPr>
            <w:r w:rsidRPr="00293B1F">
              <w:rPr>
                <w:szCs w:val="20"/>
                <w:lang w:val="sv-SE"/>
              </w:rPr>
              <w:t>Beräkningen av slutlikviden kan variera för olika serier av warranter. Generellt beräknas slutlikviden enligt följande:</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keepNext/>
              <w:spacing w:after="120"/>
              <w:ind w:left="675" w:hanging="675"/>
              <w:rPr>
                <w:szCs w:val="20"/>
                <w:lang w:val="sv-SE" w:eastAsia="sv-SE"/>
              </w:rPr>
            </w:pPr>
            <w:r w:rsidRPr="00293B1F">
              <w:rPr>
                <w:szCs w:val="20"/>
                <w:lang w:val="sv-SE" w:eastAsia="sv-SE"/>
              </w:rPr>
              <w:t>(i)</w:t>
            </w:r>
            <w:r w:rsidRPr="00293B1F">
              <w:rPr>
                <w:szCs w:val="20"/>
                <w:lang w:val="sv-SE" w:eastAsia="sv-SE"/>
              </w:rPr>
              <w:tab/>
            </w:r>
            <w:r w:rsidRPr="00293B1F">
              <w:rPr>
                <w:szCs w:val="20"/>
                <w:lang w:val="sv-SE"/>
              </w:rPr>
              <w:t>Warrantens värde på slutdagen bestäms för Köpwarranter av hur mycket den underliggande tillgångens kurs överstiger warrantens lösenkurs. En investerare som köper Köpwarranter spekulerar i en uppgång i värde av den underliggande tillgången.</w:t>
            </w:r>
            <w:r w:rsidRPr="00293B1F">
              <w:rPr>
                <w:sz w:val="22"/>
                <w:szCs w:val="22"/>
                <w:lang w:val="sv-SE"/>
              </w:rPr>
              <w:t xml:space="preserve"> </w:t>
            </w:r>
            <w:r w:rsidRPr="00293B1F">
              <w:rPr>
                <w:szCs w:val="20"/>
                <w:lang w:val="sv-SE" w:eastAsia="sv-SE"/>
              </w:rPr>
              <w:t xml:space="preserve">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keepNext/>
              <w:spacing w:after="120"/>
              <w:ind w:left="675" w:hanging="675"/>
              <w:rPr>
                <w:szCs w:val="20"/>
                <w:lang w:val="sv-SE" w:eastAsia="sv-SE"/>
              </w:rPr>
            </w:pPr>
            <w:r w:rsidRPr="00293B1F">
              <w:rPr>
                <w:szCs w:val="20"/>
                <w:lang w:val="sv-SE" w:eastAsia="sv-SE"/>
              </w:rPr>
              <w:t>(ii)</w:t>
            </w:r>
            <w:r w:rsidRPr="00293B1F">
              <w:rPr>
                <w:szCs w:val="20"/>
                <w:lang w:val="sv-SE" w:eastAsia="sv-SE"/>
              </w:rPr>
              <w:tab/>
            </w:r>
            <w:r w:rsidRPr="00293B1F">
              <w:rPr>
                <w:szCs w:val="20"/>
                <w:lang w:val="sv-SE"/>
              </w:rPr>
              <w:t>Warrantens värde på slutdagen bestäms för Säljwarranter av hur mycket den underliggande tillgångens kurs understiger warrantens lösenkurs. En investerare som köper Säljwarranter spekulerar i en nedgång i värde av den underliggande tillgången.</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spacing w:after="240"/>
              <w:rPr>
                <w:szCs w:val="20"/>
                <w:lang w:val="sv-SE"/>
              </w:rPr>
            </w:pPr>
            <w:r w:rsidRPr="00293B1F">
              <w:rPr>
                <w:szCs w:val="20"/>
                <w:lang w:val="sv-SE"/>
              </w:rPr>
              <w:t>Om underliggande tillgång blir värdelös (exempelvis genom att det bolag som ger ut underliggande aktie går i konkurs), eller om den inte har en tillräckligt gynnsam värdeutveckling (som kan vara positiv eller negativ), blir warranten värdelös och den som investerat i warranten förlorar hela det investerade kapitalet.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pacing w:after="240"/>
              <w:rPr>
                <w:szCs w:val="20"/>
                <w:lang w:val="sv-SE"/>
              </w:rPr>
            </w:pPr>
            <w:r w:rsidRPr="00293B1F">
              <w:rPr>
                <w:b/>
                <w:i/>
                <w:szCs w:val="20"/>
                <w:lang w:val="sv-SE"/>
              </w:rPr>
              <w:t>Turbowarranter</w:t>
            </w:r>
            <w:r w:rsidRPr="00293B1F">
              <w:rPr>
                <w:szCs w:val="20"/>
                <w:lang w:val="sv-SE"/>
              </w:rPr>
              <w:t xml:space="preserve"> är warranter som även har en s.k. barriärnivå, innebärande att </w:t>
            </w:r>
            <w:r>
              <w:rPr>
                <w:szCs w:val="20"/>
                <w:lang w:val="sv-SE"/>
              </w:rPr>
              <w:t>"</w:t>
            </w:r>
            <w:r w:rsidRPr="00293B1F">
              <w:rPr>
                <w:szCs w:val="20"/>
                <w:lang w:val="sv-SE"/>
              </w:rPr>
              <w:t>Turbowarrant Köp</w:t>
            </w:r>
            <w:r>
              <w:rPr>
                <w:szCs w:val="20"/>
                <w:lang w:val="sv-SE"/>
              </w:rPr>
              <w:t>"</w:t>
            </w:r>
            <w:r w:rsidRPr="00293B1F">
              <w:rPr>
                <w:szCs w:val="20"/>
                <w:lang w:val="sv-SE"/>
              </w:rPr>
              <w:t xml:space="preserve"> förfaller omedelbart om den underliggande tillgången noteras lika med eller lägre än barriärnivån och </w:t>
            </w:r>
            <w:r>
              <w:rPr>
                <w:szCs w:val="20"/>
                <w:lang w:val="sv-SE"/>
              </w:rPr>
              <w:t>"</w:t>
            </w:r>
            <w:r w:rsidRPr="00293B1F">
              <w:rPr>
                <w:szCs w:val="20"/>
                <w:lang w:val="sv-SE"/>
              </w:rPr>
              <w:t>Turbowarrant Sälj</w:t>
            </w:r>
            <w:r>
              <w:rPr>
                <w:szCs w:val="20"/>
                <w:lang w:val="sv-SE"/>
              </w:rPr>
              <w:t>"</w:t>
            </w:r>
            <w:r w:rsidRPr="00293B1F">
              <w:rPr>
                <w:szCs w:val="20"/>
                <w:lang w:val="sv-SE"/>
              </w:rPr>
              <w:t xml:space="preserve"> förfaller omedelbart om den underliggande tillgången noteras lika med eller högre än barriärnivån. Vid Turbowarranters förtida förfall utbetalas eventuellt Återbetalningsbelopp och Turbowarranten upphör att gälla.</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pacing w:after="240"/>
              <w:rPr>
                <w:szCs w:val="20"/>
                <w:lang w:val="sv-SE"/>
              </w:rPr>
            </w:pPr>
            <w:r w:rsidRPr="00293B1F">
              <w:rPr>
                <w:b/>
                <w:i/>
                <w:szCs w:val="20"/>
                <w:lang w:val="sv-SE"/>
              </w:rPr>
              <w:t>MINI Futures</w:t>
            </w:r>
            <w:r w:rsidRPr="00293B1F">
              <w:rPr>
                <w:szCs w:val="20"/>
                <w:lang w:val="sv-SE"/>
              </w:rPr>
              <w:t xml:space="preserve"> liknar Turbowarranter men har normalt en slutdag som inte är förutbestämd och en barriär som är annorlunda utformad än barriären för en Turbowarrant.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pacing w:after="240"/>
              <w:rPr>
                <w:szCs w:val="20"/>
                <w:lang w:val="sv-SE"/>
              </w:rPr>
            </w:pPr>
            <w:r w:rsidRPr="00293B1F">
              <w:rPr>
                <w:b/>
                <w:i/>
                <w:szCs w:val="20"/>
                <w:lang w:val="sv-SE"/>
              </w:rPr>
              <w:t>Marknadswarranter</w:t>
            </w:r>
            <w:r w:rsidRPr="00293B1F">
              <w:rPr>
                <w:szCs w:val="20"/>
                <w:lang w:val="sv-SE"/>
              </w:rPr>
              <w:t xml:space="preserve"> är warranter som ges ut som en primärmarknadstransaktion och innehåller ofta ett underliggande belopp som utgör grunden för beräkning av eventuell avkastning. Marknadswarranter kan även innehålla värdeutvecklingssstrukturer motsvararande de som annars avser Certifikat enligt nedan. Marknadswarranter kan vara ett icke kapitalskyddat instrument. I sådant fall kan investerare i warranten komma att förlora hela eller delar av det investerade kapitalet. Marknadswarranter kan berättiga till att inlösa eller få avkastning på slutdagen (europeisk typ) men kan även vara strukturerad liknande en amerikansk option där investeraren har rätt att begära inlösen under warrantens löptid.</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pacing w:after="240"/>
              <w:rPr>
                <w:szCs w:val="20"/>
                <w:lang w:val="sv-SE" w:eastAsia="sv-SE"/>
              </w:rPr>
            </w:pPr>
            <w:r w:rsidRPr="00293B1F">
              <w:rPr>
                <w:b/>
                <w:i/>
                <w:szCs w:val="20"/>
                <w:lang w:val="sv-SE"/>
              </w:rPr>
              <w:t>Certitfikat</w:t>
            </w:r>
            <w:r w:rsidRPr="00293B1F">
              <w:rPr>
                <w:szCs w:val="20"/>
                <w:lang w:val="sv-SE"/>
              </w:rPr>
              <w:t>: Certifikat är finansiella instrument som ger investeraren en exponering mot en viss underliggande tillgång. Underliggande tillgångar kan utgöras av, bland annat, aktier eller aktieindex samt andra tillgångar såsom räntor, valutor, råvaror eller en kombination av ovanstående samt korgar av sådana tillgångar. För att ge ett Certifikat en specifik avkastningsprofil används ett antal definitioner. Certifikatet är ett icke kapitalskyddat instrument vilket innebär att investerare i Certifikatet kan komma att förlora hela eller delar av det investerade kapitalet.</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rPr>
                <w:i/>
                <w:szCs w:val="20"/>
                <w:lang w:val="sv-SE" w:eastAsia="sv-SE"/>
              </w:rPr>
            </w:pPr>
            <w:r w:rsidRPr="00293B1F">
              <w:rPr>
                <w:i/>
                <w:szCs w:val="20"/>
                <w:lang w:val="sv-SE" w:eastAsia="sv-SE"/>
              </w:rPr>
              <w:t xml:space="preserve">Instrumenten är: [Köpwarranter/Säljwarranter/Turbowarranter/Mini Futures/Marknadswarranter/Certifikat]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pacing w:after="240"/>
              <w:rPr>
                <w:szCs w:val="20"/>
                <w:lang w:val="sv-SE" w:eastAsia="sv-SE"/>
              </w:rPr>
            </w:pPr>
            <w:r w:rsidRPr="00293B1F">
              <w:rPr>
                <w:b/>
                <w:i/>
                <w:szCs w:val="20"/>
                <w:lang w:val="sv-SE"/>
              </w:rPr>
              <w:t>Värdeutvecklingsstrukturer</w:t>
            </w:r>
            <w:r w:rsidRPr="00293B1F">
              <w:rPr>
                <w:i/>
                <w:szCs w:val="20"/>
                <w:lang w:val="sv-SE"/>
              </w:rPr>
              <w:t xml:space="preserve">: </w:t>
            </w:r>
            <w:r w:rsidRPr="00293B1F">
              <w:rPr>
                <w:szCs w:val="20"/>
                <w:lang w:val="sv-SE"/>
              </w:rPr>
              <w:t>De värdeutvecklingsstrukturer som kan komma att användas för Certifikat, Warranter och Marknadswarranter är, bland annat, följande:</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hd w:val="clear" w:color="auto" w:fill="FFFFFF" w:themeFill="background1"/>
              <w:spacing w:after="240"/>
              <w:rPr>
                <w:szCs w:val="20"/>
                <w:lang w:val="sv-SE" w:eastAsia="sv-SE"/>
              </w:rPr>
            </w:pPr>
            <w:r>
              <w:rPr>
                <w:i/>
                <w:szCs w:val="20"/>
                <w:lang w:val="sv-SE"/>
              </w:rPr>
              <w:t>"</w:t>
            </w:r>
            <w:r w:rsidRPr="00293B1F">
              <w:rPr>
                <w:i/>
                <w:szCs w:val="20"/>
                <w:lang w:val="sv-SE"/>
              </w:rPr>
              <w:t>Bas</w:t>
            </w:r>
            <w:r>
              <w:rPr>
                <w:i/>
                <w:szCs w:val="20"/>
                <w:lang w:val="sv-SE"/>
              </w:rPr>
              <w:t>"</w:t>
            </w:r>
            <w:r w:rsidRPr="00293B1F">
              <w:rPr>
                <w:i/>
                <w:szCs w:val="20"/>
                <w:lang w:val="sv-SE"/>
              </w:rPr>
              <w:t>-</w:t>
            </w:r>
            <w:r w:rsidRPr="00293B1F">
              <w:rPr>
                <w:szCs w:val="20"/>
                <w:lang w:val="sv-SE"/>
              </w:rPr>
              <w:t>struktur - Basstrukturen för att beräkna värdeutvecklingen på Instrument är beroende av förändringen mellan start- och slutkurs för en eller flera underliggande tillgångar. För att minska risken för att tillfälliga värdeförändringar ger ett missvisande beräkningsunderlag vid beräkningen av slutvärdet på Instrument fastställs slutvärdet ofta som ett genomsnitt av underliggande tillgångarnas värde eller jämförelsetal vid ett antal mättidpunkter under en bestämd tidsperiod. Det förekommer dock att det endast finns en mättidpunkt av ett värde eller ett jämförelsetal under löptiden.</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Max</w:t>
            </w:r>
            <w:r>
              <w:rPr>
                <w:szCs w:val="20"/>
                <w:lang w:val="sv-SE"/>
              </w:rPr>
              <w:t>"</w:t>
            </w:r>
            <w:r w:rsidRPr="00293B1F">
              <w:rPr>
                <w:szCs w:val="20"/>
                <w:lang w:val="sv-SE"/>
              </w:rPr>
              <w:t>-struktur – Maxstrukturen utgår från basstrukturen men innehåller en bestämd maxavkastning, det vill säga ett tak för hur hög avkastningen kan bli. Investeraren erhåller det lägsta av maxavkastningen och värdeutvecklingen på den underliggande tillgången. Om värdeutvecklingen i den underliggande tillgången överstiger den på förhand bestämda maxavkastningen får investeraren ett belopp motsvarande maxavkastningen.</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Barriär</w:t>
            </w:r>
            <w:r>
              <w:rPr>
                <w:i/>
                <w:szCs w:val="20"/>
                <w:lang w:val="sv-SE"/>
              </w:rPr>
              <w:t>"</w:t>
            </w:r>
            <w:r w:rsidRPr="00293B1F">
              <w:rPr>
                <w:szCs w:val="20"/>
                <w:lang w:val="sv-SE"/>
              </w:rPr>
              <w:t>-struktur – Denna struktur innehåller en fastslagen kurs som ersätter slutkursen om slutkursen för den underliggande tillgången uppnår och/eller överstiger ett kurstak eller understiger ett kursgolv.</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Digital</w:t>
            </w:r>
            <w:r>
              <w:rPr>
                <w:szCs w:val="20"/>
                <w:lang w:val="sv-SE"/>
              </w:rPr>
              <w:t>"</w:t>
            </w:r>
            <w:r w:rsidRPr="00293B1F">
              <w:rPr>
                <w:szCs w:val="20"/>
                <w:lang w:val="sv-SE"/>
              </w:rPr>
              <w:t>-struktur – Avkastningen i en digital struktur är beroende av hur värdet för en underliggande tillgång förhåller sig till en viss i förväg bestämd nivå på stängningsdagen.</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Binär</w:t>
            </w:r>
            <w:r>
              <w:rPr>
                <w:szCs w:val="20"/>
                <w:lang w:val="sv-SE"/>
              </w:rPr>
              <w:t>"</w:t>
            </w:r>
            <w:r w:rsidRPr="00293B1F">
              <w:rPr>
                <w:szCs w:val="20"/>
                <w:lang w:val="sv-SE"/>
              </w:rPr>
              <w:t xml:space="preserve"> -struktur – Avkastningen i en binär struktur är beroende av hur värdet av en underliggande tillgång förhåller sig till en i förväg bestämd nivå under Instrumentets hela löptid.</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Hävstångs</w:t>
            </w:r>
            <w:r>
              <w:rPr>
                <w:szCs w:val="20"/>
                <w:lang w:val="sv-SE"/>
              </w:rPr>
              <w:t>"</w:t>
            </w:r>
            <w:r w:rsidRPr="00293B1F">
              <w:rPr>
                <w:szCs w:val="20"/>
                <w:lang w:val="sv-SE"/>
              </w:rPr>
              <w:t>-struktur – Hävstångsstruktur innebär vanligtvis att instrumentets värde rör sig proportionerligt med hävstången i förhållande till underliggande tillgång. Stukturen kan kombineras med bland annat en barriär eller ett tak.</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hd w:val="clear" w:color="auto" w:fill="FFFFFF" w:themeFill="background1"/>
              <w:spacing w:after="240"/>
              <w:rPr>
                <w:szCs w:val="20"/>
                <w:lang w:val="sv-SE"/>
              </w:rPr>
            </w:pPr>
            <w:r>
              <w:rPr>
                <w:szCs w:val="20"/>
                <w:lang w:val="sv-SE"/>
              </w:rPr>
              <w:t>"</w:t>
            </w:r>
            <w:r w:rsidRPr="00293B1F">
              <w:rPr>
                <w:i/>
                <w:szCs w:val="20"/>
                <w:lang w:val="sv-SE"/>
              </w:rPr>
              <w:t>Konstant</w:t>
            </w:r>
            <w:r w:rsidRPr="00293B1F">
              <w:rPr>
                <w:szCs w:val="20"/>
                <w:lang w:val="sv-SE"/>
              </w:rPr>
              <w:t xml:space="preserve"> </w:t>
            </w:r>
            <w:r w:rsidRPr="00293B1F">
              <w:rPr>
                <w:i/>
                <w:szCs w:val="20"/>
                <w:lang w:val="sv-SE"/>
              </w:rPr>
              <w:t>Hävstång</w:t>
            </w:r>
            <w:r>
              <w:rPr>
                <w:szCs w:val="20"/>
                <w:lang w:val="sv-SE"/>
              </w:rPr>
              <w:t>"</w:t>
            </w:r>
            <w:r w:rsidRPr="00293B1F">
              <w:rPr>
                <w:szCs w:val="20"/>
                <w:lang w:val="sv-SE"/>
              </w:rPr>
              <w:t>-struktur – En konstant hävstångsstruktur är en struktur där exponeringen mot underliggande tillgång under en definierad tidsperiod (till exempel en dag) ger en avkastning i förhållande till underliggande tillgång som är X gånger större jämfört med den underliggande tillgångens. Den konstanta hävstången kan både vara positiv och negativ och strukturen kombineras ofta med, exempelvis, en barriär.</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pacing w:after="240"/>
              <w:rPr>
                <w:szCs w:val="20"/>
                <w:lang w:eastAsia="sv-SE"/>
              </w:rPr>
            </w:pPr>
            <w:r w:rsidRPr="00293B1F">
              <w:rPr>
                <w:szCs w:val="20"/>
                <w:lang w:val="sv-SE"/>
              </w:rPr>
              <w:t xml:space="preserve">Ovan angivna värdeutvecklingsstrukturer är ett urval av de vanligaste strukturerna. Dessa strukturer kan kombineras, varieras och användas i sin helhet eller endast delvis. </w:t>
            </w:r>
            <w:r w:rsidRPr="00293B1F">
              <w:rPr>
                <w:szCs w:val="20"/>
              </w:rPr>
              <w:t>Även andra värdeutvecklingsstrukturer kan bli tillämpliga.</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rPr>
            </w:pPr>
          </w:p>
        </w:tc>
        <w:tc>
          <w:tcPr>
            <w:tcW w:w="951" w:type="pct"/>
            <w:tcBorders>
              <w:left w:val="single" w:sz="4" w:space="0" w:color="auto"/>
              <w:right w:val="single" w:sz="4" w:space="0" w:color="auto"/>
            </w:tcBorders>
          </w:tcPr>
          <w:p w:rsidR="00E55762" w:rsidRPr="00293B1F" w:rsidP="003722D9">
            <w:pPr>
              <w:pStyle w:val="BodyText"/>
              <w:jc w:val="left"/>
              <w:rPr>
                <w:b/>
                <w:bCs/>
                <w:szCs w:val="20"/>
              </w:rPr>
            </w:pPr>
          </w:p>
        </w:tc>
        <w:tc>
          <w:tcPr>
            <w:tcW w:w="3661" w:type="pct"/>
            <w:tcBorders>
              <w:left w:val="single" w:sz="4" w:space="0" w:color="auto"/>
              <w:right w:val="single" w:sz="4" w:space="0" w:color="auto"/>
            </w:tcBorders>
          </w:tcPr>
          <w:p w:rsidR="00E55762" w:rsidRPr="00293B1F" w:rsidP="003722D9">
            <w:pPr>
              <w:spacing w:after="240"/>
              <w:rPr>
                <w:szCs w:val="20"/>
                <w:lang w:val="sv-SE"/>
              </w:rPr>
            </w:pPr>
            <w:r w:rsidRPr="00293B1F">
              <w:rPr>
                <w:i/>
                <w:szCs w:val="20"/>
                <w:lang w:val="sv-SE"/>
              </w:rPr>
              <w:t>De(n) tillämpliga värdeutvecklingsstrukturen(-erna) är [ ].</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szCs w:val="20"/>
                <w:lang w:val="sv-SE"/>
              </w:rPr>
            </w:pPr>
            <w:r w:rsidRPr="00293B1F">
              <w:rPr>
                <w:rFonts w:eastAsiaTheme="minorEastAsia" w:cs="Times"/>
                <w:b/>
                <w:i/>
                <w:szCs w:val="20"/>
                <w:lang w:val="sv-SE"/>
              </w:rPr>
              <w:t>Deltagandegrad</w:t>
            </w:r>
            <w:r w:rsidRPr="00293B1F">
              <w:rPr>
                <w:rFonts w:eastAsiaTheme="minorEastAsia" w:cs="Times"/>
                <w:i/>
                <w:szCs w:val="20"/>
                <w:lang w:val="sv-SE"/>
              </w:rPr>
              <w:t xml:space="preserve">: </w:t>
            </w:r>
            <w:r w:rsidRPr="00293B1F">
              <w:rPr>
                <w:rFonts w:eastAsiaTheme="minorEastAsia" w:cs="Times"/>
                <w:szCs w:val="20"/>
                <w:lang w:val="sv-SE"/>
              </w:rPr>
              <w:t>Instrumentens struktur kan innehålla en deltagandegrad som används för att fastställa exponeringen mot respektive underliggande tillgång(ar), dvs. proportionen av ändring i värdet som tillfaller investeraren i varje individuellt Instrument. Deltagandegraden bestäms av Emittenten och fastställs genom, bland annat, löptiden, volatiliteten, marknadsräntan och den förväntade avkastningen från underliggande tillgång.</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right w:val="single" w:sz="4" w:space="0" w:color="auto"/>
            </w:tcBorders>
          </w:tcPr>
          <w:p w:rsidR="00E55762" w:rsidRPr="00293B1F" w:rsidP="003722D9">
            <w:pPr>
              <w:spacing w:after="240"/>
              <w:rPr>
                <w:rFonts w:cs="Times"/>
                <w:i/>
                <w:iCs/>
                <w:szCs w:val="20"/>
                <w:lang w:eastAsia="sv-SE"/>
              </w:rPr>
            </w:pPr>
            <w:r w:rsidRPr="00293B1F">
              <w:rPr>
                <w:rFonts w:eastAsiaTheme="minorEastAsia" w:cs="Times"/>
                <w:i/>
                <w:iCs/>
                <w:szCs w:val="20"/>
              </w:rPr>
              <w:t>[Den indikativa] Deltagandegraden är: [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rPr>
            </w:pPr>
          </w:p>
        </w:tc>
        <w:tc>
          <w:tcPr>
            <w:tcW w:w="3661" w:type="pct"/>
            <w:tcBorders>
              <w:left w:val="single" w:sz="4" w:space="0" w:color="auto"/>
              <w:bottom w:val="single" w:sz="4" w:space="0" w:color="auto"/>
              <w:right w:val="single" w:sz="4" w:space="0" w:color="auto"/>
            </w:tcBorders>
          </w:tcPr>
          <w:p w:rsidR="00E55762" w:rsidRPr="00293B1F" w:rsidP="003722D9">
            <w:pPr>
              <w:rPr>
                <w:rFonts w:eastAsiaTheme="minorEastAsia" w:cs="Times"/>
                <w:iCs/>
                <w:szCs w:val="20"/>
              </w:rPr>
            </w:pPr>
            <w:r w:rsidRPr="00293B1F">
              <w:rPr>
                <w:rFonts w:eastAsiaTheme="minorEastAsia" w:cs="Times"/>
                <w:b/>
                <w:i/>
                <w:iCs/>
                <w:szCs w:val="20"/>
              </w:rPr>
              <w:t>Särskilda avkastningsstrukturer</w:t>
            </w:r>
            <w:r w:rsidRPr="00293B1F">
              <w:rPr>
                <w:rFonts w:eastAsiaTheme="minorEastAsia" w:cs="Times"/>
                <w:iCs/>
                <w:szCs w:val="20"/>
              </w:rPr>
              <w: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szCs w:val="20"/>
              </w:rPr>
            </w:pPr>
          </w:p>
        </w:tc>
        <w:tc>
          <w:tcPr>
            <w:tcW w:w="3661" w:type="pct"/>
            <w:tcBorders>
              <w:top w:val="single" w:sz="4" w:space="0" w:color="auto"/>
              <w:left w:val="single" w:sz="4" w:space="0" w:color="auto"/>
              <w:right w:val="single" w:sz="4" w:space="0" w:color="auto"/>
            </w:tcBorders>
          </w:tcPr>
          <w:p w:rsidR="00E55762" w:rsidRPr="00293B1F" w:rsidP="003722D9">
            <w:pPr>
              <w:rPr>
                <w:rFonts w:eastAsiaTheme="minorEastAsia" w:cs="Times"/>
                <w:iCs/>
                <w:szCs w:val="20"/>
                <w:lang w:val="sv-SE"/>
              </w:rPr>
            </w:pPr>
            <w:r w:rsidRPr="00293B1F">
              <w:rPr>
                <w:rFonts w:eastAsiaTheme="minorEastAsia" w:cs="Times"/>
                <w:iCs/>
                <w:szCs w:val="20"/>
                <w:lang w:val="sv-SE"/>
              </w:rPr>
              <w:t>För Certifikat, Warranter och Marknadswarranter kan någon eller några av följande särskilda avkastningsstrukturer vara tillämpliga:</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iCs/>
                <w:szCs w:val="20"/>
                <w:lang w:val="sv-SE"/>
              </w:rPr>
            </w:pPr>
            <w:r>
              <w:rPr>
                <w:rFonts w:eastAsiaTheme="minorEastAsia" w:cs="Times"/>
                <w:iCs/>
                <w:szCs w:val="20"/>
                <w:lang w:val="sv-SE"/>
              </w:rPr>
              <w:t>"</w:t>
            </w:r>
            <w:r w:rsidRPr="00293B1F">
              <w:rPr>
                <w:rFonts w:eastAsiaTheme="minorEastAsia" w:cs="Times"/>
                <w:iCs/>
                <w:szCs w:val="20"/>
                <w:lang w:val="sv-SE"/>
              </w:rPr>
              <w:t>Cap/Floor</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Capped Floor Float</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Compounding Floater</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Range Accrual</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Digital Long</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Digital Short</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Basket Long</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Basket Short</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Autocallkupong</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Maxkomponent</w:t>
            </w:r>
            <w:r>
              <w:rPr>
                <w:rFonts w:eastAsiaTheme="minorEastAsia" w:cs="Times"/>
                <w:iCs/>
                <w:szCs w:val="20"/>
                <w:lang w:val="sv-SE"/>
              </w:rPr>
              <w:t>"</w:t>
            </w:r>
            <w:r w:rsidRPr="00293B1F">
              <w:rPr>
                <w:rFonts w:eastAsiaTheme="minorEastAsia" w:cs="Times"/>
                <w:iCs/>
                <w:szCs w:val="20"/>
                <w:lang w:val="sv-SE"/>
              </w:rPr>
              <w:t xml:space="preserve">, </w:t>
            </w:r>
            <w:r>
              <w:rPr>
                <w:rFonts w:eastAsiaTheme="minorEastAsia" w:cs="Times"/>
                <w:iCs/>
                <w:szCs w:val="20"/>
                <w:lang w:val="sv-SE"/>
              </w:rPr>
              <w:t>"</w:t>
            </w:r>
            <w:r w:rsidRPr="00293B1F">
              <w:rPr>
                <w:rFonts w:eastAsiaTheme="minorEastAsia" w:cs="Times"/>
                <w:iCs/>
                <w:szCs w:val="20"/>
                <w:lang w:val="sv-SE"/>
              </w:rPr>
              <w:t>Valutakomponent – Korg</w:t>
            </w:r>
            <w:r>
              <w:rPr>
                <w:rFonts w:eastAsiaTheme="minorEastAsia" w:cs="Times"/>
                <w:iCs/>
                <w:szCs w:val="20"/>
                <w:lang w:val="sv-SE"/>
              </w:rPr>
              <w:t>"</w:t>
            </w:r>
            <w:r w:rsidRPr="00293B1F">
              <w:rPr>
                <w:rFonts w:eastAsiaTheme="minorEastAsia" w:cs="Times"/>
                <w:iCs/>
                <w:szCs w:val="20"/>
                <w:lang w:val="sv-SE"/>
              </w:rPr>
              <w:t xml:space="preserve"> och </w:t>
            </w:r>
            <w:r>
              <w:rPr>
                <w:rFonts w:eastAsiaTheme="minorEastAsia" w:cs="Times"/>
                <w:iCs/>
                <w:szCs w:val="20"/>
                <w:lang w:val="sv-SE"/>
              </w:rPr>
              <w:t>"</w:t>
            </w:r>
            <w:r w:rsidRPr="00293B1F">
              <w:rPr>
                <w:rFonts w:eastAsiaTheme="minorEastAsia" w:cs="Times"/>
                <w:iCs/>
                <w:szCs w:val="20"/>
                <w:lang w:val="sv-SE"/>
              </w:rPr>
              <w:t>Valutakomponent – Underliggande Tillgång</w:t>
            </w:r>
            <w:r>
              <w:rPr>
                <w:rFonts w:eastAsiaTheme="minorEastAsia" w:cs="Times"/>
                <w:iCs/>
                <w:szCs w:val="20"/>
                <w:lang w:val="sv-SE"/>
              </w:rPr>
              <w: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rFonts w:eastAsiaTheme="minorEastAsia" w:cs="Times"/>
                <w:i/>
                <w:iCs/>
                <w:szCs w:val="20"/>
                <w:lang w:val="sv-SE"/>
              </w:rPr>
            </w:pPr>
            <w:r w:rsidRPr="00293B1F">
              <w:rPr>
                <w:rFonts w:eastAsiaTheme="minorEastAsia" w:cs="Times"/>
                <w:i/>
                <w:iCs/>
                <w:szCs w:val="20"/>
                <w:lang w:val="sv-SE"/>
              </w:rPr>
              <w:t>[De(n) särskilda avkastningsstruktur(erna) som är tillämplig(a) för Instrumenten är: [•]/[Ej tillämpligt]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rPr>
            </w:pPr>
            <w:r w:rsidRPr="00293B1F">
              <w:rPr>
                <w:b/>
                <w:bCs/>
                <w:noProof/>
                <w:szCs w:val="20"/>
              </w:rPr>
              <w:t>C.16</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rPr>
            </w:pPr>
            <w:r w:rsidRPr="00293B1F">
              <w:rPr>
                <w:rFonts w:eastAsiaTheme="minorEastAsia"/>
                <w:b/>
                <w:bCs/>
                <w:lang w:val="sv-SE"/>
              </w:rPr>
              <w:t>Inlösen- eller förfallodag</w:t>
            </w:r>
            <w:r w:rsidRPr="00293B1F">
              <w:rPr>
                <w:b/>
                <w:bCs/>
                <w:szCs w:val="20"/>
              </w:rPr>
              <w:t>:</w:t>
            </w:r>
          </w:p>
        </w:tc>
        <w:tc>
          <w:tcPr>
            <w:tcW w:w="3661" w:type="pct"/>
            <w:tcBorders>
              <w:top w:val="single" w:sz="4" w:space="0" w:color="auto"/>
              <w:left w:val="single" w:sz="4" w:space="0" w:color="auto"/>
              <w:right w:val="single" w:sz="4" w:space="0" w:color="auto"/>
            </w:tcBorders>
          </w:tcPr>
          <w:p w:rsidR="00E55762" w:rsidRPr="00293B1F" w:rsidP="003722D9">
            <w:pPr>
              <w:rPr>
                <w:rFonts w:cs="Times"/>
                <w:szCs w:val="20"/>
                <w:lang w:val="sv-SE" w:eastAsia="sv-SE"/>
              </w:rPr>
            </w:pPr>
            <w:r w:rsidRPr="00293B1F">
              <w:rPr>
                <w:rFonts w:cs="Times"/>
                <w:szCs w:val="20"/>
                <w:lang w:val="sv-SE" w:eastAsia="sv-SE"/>
              </w:rPr>
              <w:t>Med förbehåll för förtida återinlösen kommer Återbetalningsdagen att vara förfallodagen för Instrumenten, utom för de Instrument som inte har någon bestämd Återbetalningsdag (</w:t>
            </w:r>
            <w:r>
              <w:rPr>
                <w:rFonts w:cs="Times"/>
                <w:szCs w:val="20"/>
                <w:lang w:val="sv-SE" w:eastAsia="sv-SE"/>
              </w:rPr>
              <w:t>"</w:t>
            </w:r>
            <w:r w:rsidRPr="00293B1F">
              <w:rPr>
                <w:rFonts w:cs="Times"/>
                <w:szCs w:val="20"/>
                <w:lang w:val="sv-SE" w:eastAsia="sv-SE"/>
              </w:rPr>
              <w:t>open ended</w:t>
            </w:r>
            <w:r>
              <w:rPr>
                <w:rFonts w:cs="Times"/>
                <w:szCs w:val="20"/>
                <w:lang w:val="sv-SE" w:eastAsia="sv-SE"/>
              </w:rPr>
              <w:t>"</w:t>
            </w:r>
            <w:r w:rsidRPr="00293B1F">
              <w:rPr>
                <w:rFonts w:cs="Times"/>
                <w:szCs w:val="20"/>
                <w:lang w:val="sv-SE" w:eastAsia="sv-SE"/>
              </w:rPr>
              <w:t xml:space="preserve">).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rFonts w:cs="Times"/>
                <w:i/>
                <w:szCs w:val="20"/>
                <w:lang w:eastAsia="sv-SE"/>
              </w:rPr>
            </w:pPr>
            <w:r w:rsidRPr="00293B1F">
              <w:rPr>
                <w:rFonts w:cs="Times"/>
                <w:i/>
                <w:szCs w:val="20"/>
                <w:lang w:eastAsia="sv-SE"/>
              </w:rPr>
              <w:t xml:space="preserve">Återbetalningsdagen är: [•]/Ej tillämpligt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noProof/>
                <w:szCs w:val="20"/>
              </w:rPr>
            </w:pPr>
            <w:r w:rsidRPr="00293B1F">
              <w:rPr>
                <w:b/>
                <w:bCs/>
                <w:noProof/>
                <w:szCs w:val="20"/>
              </w:rPr>
              <w:t>C.17</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noProof/>
                <w:szCs w:val="20"/>
              </w:rPr>
            </w:pPr>
            <w:r w:rsidRPr="00293B1F">
              <w:rPr>
                <w:rFonts w:eastAsiaTheme="minorEastAsia"/>
                <w:b/>
                <w:bCs/>
                <w:lang w:val="sv-SE"/>
              </w:rPr>
              <w:t>Avräknings-förfarande</w:t>
            </w:r>
            <w:r w:rsidRPr="00293B1F">
              <w:rPr>
                <w:b/>
                <w:bCs/>
                <w:szCs w:val="20"/>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spacing w:after="240"/>
              <w:rPr>
                <w:rFonts w:cs="Times"/>
                <w:iCs/>
                <w:szCs w:val="20"/>
                <w:lang w:val="sv-SE"/>
              </w:rPr>
            </w:pPr>
            <w:r w:rsidRPr="00293B1F">
              <w:rPr>
                <w:rFonts w:cs="Times"/>
                <w:iCs/>
                <w:szCs w:val="20"/>
                <w:lang w:val="sv-SE"/>
              </w:rPr>
              <w:t>För alla Instrument sker automatiskt lösen genom kontantavräkning, vilket innebär att Emittenten,</w:t>
            </w:r>
            <w:r>
              <w:rPr>
                <w:rStyle w:val="FootnoteReference"/>
                <w:iCs/>
                <w:lang w:val="sv-SE"/>
              </w:rPr>
              <w:footnoteReference w:id="30"/>
            </w:r>
            <w:r w:rsidRPr="00293B1F">
              <w:rPr>
                <w:rFonts w:cs="Times"/>
                <w:iCs/>
                <w:szCs w:val="20"/>
                <w:lang w:val="sv-SE"/>
              </w:rPr>
              <w:t xml:space="preserve"> om Instrument på Återbetalningsdagen berättigar till Återbetalningsbelopp, betalar innehavare av Instrument kontanter. Instrument ger inte innehavare rätt att erhålla underliggande tillgång.</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spacing w:after="240"/>
              <w:rPr>
                <w:rFonts w:cs="Times"/>
                <w:iCs/>
                <w:szCs w:val="20"/>
                <w:lang w:val="sv-SE"/>
              </w:rPr>
            </w:pPr>
            <w:r w:rsidRPr="00293B1F">
              <w:rPr>
                <w:rFonts w:cs="Times"/>
                <w:iCs/>
                <w:szCs w:val="20"/>
                <w:lang w:val="sv-SE"/>
              </w:rPr>
              <w:t>Avräkning av Instrument som är registrerade vid VP ska ske i enlighet med VP-reglerna, avräkning av Instrument som är registrerade vid VPS ska ske i enlighet med VPS-reglerna, avräkning av Instrument som är registrerade vid Euroclear Sweden ska ske i enlighet med Euroclear Swedens regler och avräkning av Instrument som är registrerade vid Euroclear Finland ska ske i enlighet med Euroclear Finlands regler.</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cs="Times"/>
                <w:szCs w:val="20"/>
                <w:lang w:val="sv-SE" w:eastAsia="sv-SE"/>
              </w:rPr>
            </w:pPr>
            <w:r w:rsidRPr="00293B1F">
              <w:rPr>
                <w:rFonts w:cs="Times"/>
                <w:szCs w:val="20"/>
                <w:lang w:val="sv-SE" w:eastAsia="sv-SE"/>
              </w:rPr>
              <w:t>Avräkning av Instrument som representeras av ett Globalt Instrument ska ske på den relevanta betalningsdagen och ska verkställas genom att Emittenten</w:t>
            </w:r>
            <w:r w:rsidRPr="00D633E0">
              <w:rPr>
                <w:rFonts w:ascii="Times New Roman Bold" w:hAnsi="Times New Roman Bold"/>
                <w:vertAlign w:val="superscript"/>
                <w:lang w:val="sv-SE"/>
              </w:rPr>
              <w:t>11</w:t>
            </w:r>
            <w:r w:rsidRPr="00293B1F">
              <w:rPr>
                <w:rFonts w:cs="Times"/>
                <w:szCs w:val="20"/>
                <w:lang w:val="sv-SE" w:eastAsia="sv-SE"/>
              </w:rPr>
              <w:t xml:space="preserve"> betalar tillämpliga kapitalbelopp och/eller ränta till Registreringsagenten för vidareförmedling till Euroclear och Clearstream, Luxemburg. Investerare erhåller återbetalningsbeloppen genom deras konton i Euroclear och Clearstream, Luxemburg i enligt med sedvanliga avräkningsrutiner hos Euroclear och Clearstream, Luxemburg.</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rFonts w:cs="Times"/>
                <w:szCs w:val="20"/>
                <w:lang w:val="sv-SE" w:eastAsia="sv-SE"/>
              </w:rPr>
            </w:pPr>
            <w:r w:rsidRPr="00293B1F">
              <w:rPr>
                <w:rFonts w:cs="Times"/>
                <w:szCs w:val="20"/>
                <w:lang w:val="sv-SE" w:eastAsia="sv-SE"/>
              </w:rPr>
              <w:t xml:space="preserve">Avseende Instrument som är utfärdade i fysisk form sker betalning av Återbetalningsbeloppet efter att det relevanta Instrumentet presenterats och överlämnats på Registreringsagentens angivna kontor.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rPr>
                <w:rFonts w:cs="Times"/>
                <w:i/>
                <w:szCs w:val="20"/>
                <w:lang w:val="sv-SE" w:eastAsia="sv-SE"/>
              </w:rPr>
            </w:pPr>
            <w:r w:rsidRPr="00293B1F">
              <w:rPr>
                <w:rFonts w:cs="Times"/>
                <w:i/>
                <w:iCs/>
                <w:szCs w:val="20"/>
                <w:lang w:val="sv-SE" w:eastAsia="sv-SE"/>
              </w:rPr>
              <w:t xml:space="preserve">Avräkning av Instrument ska ske: i enlighet med rutinerna hos </w:t>
            </w:r>
            <w:r w:rsidRPr="00293B1F">
              <w:rPr>
                <w:rFonts w:cs="Times"/>
                <w:iCs/>
                <w:szCs w:val="20"/>
                <w:lang w:val="sv-SE" w:eastAsia="sv-SE"/>
              </w:rPr>
              <w:t>[</w:t>
            </w:r>
            <w:r w:rsidRPr="00293B1F">
              <w:rPr>
                <w:rFonts w:cs="Times"/>
                <w:i/>
                <w:iCs/>
                <w:szCs w:val="20"/>
                <w:lang w:val="sv-SE" w:eastAsia="sv-SE"/>
              </w:rPr>
              <w:t>VP/VPS/Euroclear Sweden/Euroclear Finland/Euroclear och Clearstream, Luxemburg</w:t>
            </w:r>
            <w:r w:rsidRPr="00293B1F">
              <w:rPr>
                <w:rFonts w:cs="Times"/>
                <w:iCs/>
                <w:szCs w:val="20"/>
                <w:lang w:val="sv-SE" w:eastAsia="sv-SE"/>
              </w:rPr>
              <w: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szCs w:val="20"/>
              </w:rPr>
            </w:pPr>
            <w:r w:rsidRPr="00293B1F">
              <w:rPr>
                <w:b/>
                <w:bCs/>
                <w:noProof/>
                <w:szCs w:val="20"/>
              </w:rPr>
              <w:t>C.18</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rPr>
            </w:pPr>
            <w:r w:rsidRPr="00293B1F">
              <w:rPr>
                <w:rFonts w:eastAsiaTheme="minorEastAsia"/>
                <w:b/>
                <w:bCs/>
                <w:lang w:val="sv-SE"/>
              </w:rPr>
              <w:t>Avkastning</w:t>
            </w:r>
            <w:r w:rsidRPr="00293B1F">
              <w:rPr>
                <w:b/>
                <w:bCs/>
                <w:szCs w:val="20"/>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szCs w:val="20"/>
                <w:lang w:val="sv-SE" w:eastAsia="sv-SE"/>
              </w:rPr>
            </w:pPr>
            <w:r w:rsidRPr="00293B1F">
              <w:rPr>
                <w:lang w:val="sv-SE"/>
              </w:rPr>
              <w:t xml:space="preserve">Avkastningen eller Återbetalningsbeloppet som ska betalas till Investerare kommer att beräknas med grund i utvecklingen av de underliggande tillgångarna inom en viss värdeutvecklingsstruktur som är tillämplig för Instrumenten. En eller flera kuponger kan också, utöver Återbetalningsbeloppet, komma att betalas ut. Närmare uppgifter om olika värdeutvecklingsstrukturer och avkastningsstrukturer anges i avsnitt C.15. </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shd w:val="clear" w:color="auto" w:fill="FFFFFF" w:themeFill="background1"/>
              <w:rPr>
                <w:rFonts w:cs="Times"/>
                <w:i/>
                <w:iCs/>
                <w:szCs w:val="20"/>
                <w:lang w:val="sv-SE" w:eastAsia="sv-SE"/>
              </w:rPr>
            </w:pPr>
            <w:r w:rsidRPr="00293B1F">
              <w:rPr>
                <w:i/>
                <w:lang w:val="sv-SE"/>
              </w:rPr>
              <w:t>Närmare uppgifter om olika värdeutvecklingsstrukturer och avkastningen för Instrumenten anges i avsnitt C.15.</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noProof/>
                <w:szCs w:val="20"/>
              </w:rPr>
            </w:pPr>
            <w:r w:rsidRPr="00293B1F">
              <w:rPr>
                <w:b/>
                <w:bCs/>
                <w:noProof/>
                <w:szCs w:val="20"/>
              </w:rPr>
              <w:t>C.19</w:t>
            </w: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noProof/>
                <w:szCs w:val="20"/>
              </w:rPr>
            </w:pPr>
            <w:r w:rsidRPr="00293B1F">
              <w:rPr>
                <w:rFonts w:eastAsiaTheme="minorEastAsia"/>
                <w:b/>
                <w:bCs/>
                <w:lang w:val="sv-SE"/>
              </w:rPr>
              <w:t>Optionskurs eller Slutligt Referenspris</w:t>
            </w:r>
            <w:r w:rsidRPr="00293B1F">
              <w:rPr>
                <w:b/>
                <w:bCs/>
                <w:szCs w:val="20"/>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rPr>
                <w:rFonts w:cs="Times"/>
                <w:b/>
                <w:iCs/>
                <w:szCs w:val="20"/>
                <w:lang w:val="sv-SE" w:eastAsia="sv-SE"/>
              </w:rPr>
            </w:pPr>
            <w:r w:rsidRPr="00293B1F">
              <w:rPr>
                <w:rFonts w:cs="Times"/>
                <w:szCs w:val="20"/>
                <w:lang w:val="sv-SE" w:eastAsia="sv-SE"/>
              </w:rPr>
              <w:t xml:space="preserve">Det slutliga värdet för den eller de relevanta underliggande tillångarna kommer att påverka det Återbetalningsbelopp som ska betalas till Investerarna. Det slutliga värdet kommer att bestämmas på den tillämpliga Värderingsdagen. </w:t>
            </w:r>
          </w:p>
        </w:tc>
      </w:tr>
      <w:tr w:rsidTr="003722D9">
        <w:tblPrEx>
          <w:tblW w:w="5000" w:type="pct"/>
          <w:tblLayout w:type="fixed"/>
          <w:tblLook w:val="0000"/>
        </w:tblPrEx>
        <w:trPr>
          <w:cantSplit/>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rPr>
                <w:rFonts w:cs="Times"/>
                <w:iCs/>
                <w:szCs w:val="20"/>
                <w:lang w:val="sv-SE" w:eastAsia="sv-SE"/>
              </w:rPr>
            </w:pPr>
            <w:r w:rsidRPr="00293B1F">
              <w:rPr>
                <w:rFonts w:eastAsiaTheme="minorEastAsia" w:cs="Times"/>
                <w:iCs/>
                <w:szCs w:val="20"/>
                <w:lang w:val="sv-SE"/>
              </w:rPr>
              <w:t>[</w:t>
            </w:r>
            <w:r w:rsidRPr="00293B1F">
              <w:rPr>
                <w:rFonts w:eastAsiaTheme="minorEastAsia" w:cs="Times"/>
                <w:i/>
                <w:iCs/>
                <w:szCs w:val="20"/>
                <w:lang w:val="sv-SE"/>
              </w:rPr>
              <w:t>Det slutliga värdet på den underliggande tillgången kommer att beräknas som [slutkurs]/[genomsnittliga slutkurser] som publicerats av [•] på [•], [•] och [•]</w:t>
            </w:r>
            <w:r w:rsidRPr="00293B1F">
              <w:rPr>
                <w:rFonts w:eastAsiaTheme="minorEastAsia" w:cs="Times"/>
                <w:i/>
                <w:szCs w:val="20"/>
                <w:lang w:val="sv-SE"/>
              </w:rPr>
              <w:t>.</w:t>
            </w:r>
            <w:r w:rsidRPr="00293B1F">
              <w:rPr>
                <w:rFonts w:eastAsiaTheme="minorEastAsia" w:cs="Times"/>
                <w:szCs w:val="20"/>
                <w:lang w:val="sv-SE"/>
              </w:rPr>
              <w: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rPr>
            </w:pPr>
            <w:r w:rsidRPr="00293B1F">
              <w:rPr>
                <w:b/>
                <w:bCs/>
                <w:noProof/>
                <w:szCs w:val="20"/>
              </w:rPr>
              <w:t>C.20</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szCs w:val="20"/>
              </w:rPr>
            </w:pPr>
            <w:r w:rsidRPr="00293B1F">
              <w:rPr>
                <w:rFonts w:eastAsiaTheme="minorEastAsia"/>
                <w:b/>
                <w:bCs/>
                <w:lang w:val="sv-SE"/>
              </w:rPr>
              <w:t>Typ av underliggande</w:t>
            </w:r>
            <w:r w:rsidRPr="00293B1F">
              <w:rPr>
                <w:b/>
                <w:bCs/>
                <w:szCs w:val="20"/>
              </w:rPr>
              <w:t>:</w:t>
            </w:r>
          </w:p>
        </w:tc>
        <w:tc>
          <w:tcPr>
            <w:tcW w:w="3661" w:type="pct"/>
            <w:tcBorders>
              <w:top w:val="single" w:sz="4" w:space="0" w:color="auto"/>
              <w:left w:val="single" w:sz="4" w:space="0" w:color="auto"/>
              <w:right w:val="single" w:sz="4" w:space="0" w:color="auto"/>
            </w:tcBorders>
          </w:tcPr>
          <w:p w:rsidR="00E55762" w:rsidRPr="00293B1F" w:rsidP="003722D9">
            <w:pPr>
              <w:spacing w:after="240"/>
              <w:rPr>
                <w:rFonts w:cs="Times"/>
                <w:iCs/>
                <w:szCs w:val="20"/>
                <w:lang w:val="sv-SE"/>
              </w:rPr>
            </w:pPr>
            <w:r w:rsidRPr="00293B1F">
              <w:rPr>
                <w:rFonts w:cs="Times"/>
                <w:iCs/>
                <w:szCs w:val="20"/>
                <w:lang w:val="sv-SE"/>
              </w:rPr>
              <w:t>Underliggande tillgångar kan utgöras av, eller en kombination av, följande: aktie, depåbevis, obligation, råvara, räntekurser, växelkurs, terminskontrakt, fonder, index eller en korg av tillgångar. Utvecklingen för den underliggande tillgången påverkar värdet och eventuell avkastning på warranten eller certifikatet.</w:t>
            </w:r>
          </w:p>
        </w:tc>
      </w:tr>
      <w:tr w:rsidTr="003722D9">
        <w:tblPrEx>
          <w:tblW w:w="5000" w:type="pct"/>
          <w:tblLayout w:type="fixed"/>
          <w:tblLook w:val="0000"/>
        </w:tblPrEx>
        <w:trPr>
          <w:cantSplit/>
        </w:trPr>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i/>
                <w:iCs/>
                <w:szCs w:val="20"/>
                <w:lang w:val="sv-SE" w:eastAsia="sv-SE"/>
              </w:rPr>
            </w:pPr>
            <w:r w:rsidRPr="00293B1F">
              <w:rPr>
                <w:rFonts w:eastAsia="SimSun"/>
                <w:i/>
                <w:iCs/>
                <w:szCs w:val="20"/>
                <w:lang w:val="sv-SE"/>
              </w:rPr>
              <w:t>Typ av underliggande tillgång(ar) är: [ ].</w:t>
            </w:r>
          </w:p>
        </w:tc>
      </w:tr>
      <w:tr w:rsidTr="003722D9">
        <w:tblPrEx>
          <w:tblW w:w="5000" w:type="pct"/>
          <w:tblLayout w:type="fixed"/>
          <w:tblLook w:val="0000"/>
        </w:tblPrEx>
        <w:trPr>
          <w:tblHeader/>
        </w:trPr>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pageBreakBefore/>
              <w:jc w:val="center"/>
              <w:rPr>
                <w:b/>
                <w:bCs/>
                <w:lang w:val="sv-SE"/>
              </w:rPr>
            </w:pPr>
          </w:p>
        </w:tc>
        <w:tc>
          <w:tcPr>
            <w:tcW w:w="4612" w:type="pct"/>
            <w:gridSpan w:val="2"/>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center"/>
              <w:rPr>
                <w:b/>
                <w:bCs/>
                <w:lang w:val="sv-SE"/>
              </w:rPr>
            </w:pPr>
            <w:r w:rsidRPr="00293B1F">
              <w:rPr>
                <w:b/>
                <w:bCs/>
                <w:lang w:val="sv-SE"/>
              </w:rPr>
              <w:t>Avsnitt D - Risker</w:t>
            </w:r>
          </w:p>
        </w:tc>
      </w:tr>
      <w:tr w:rsidTr="003722D9">
        <w:tblPrEx>
          <w:tblW w:w="5000" w:type="pct"/>
          <w:tblLayout w:type="fixed"/>
          <w:tblLook w:val="0000"/>
        </w:tblPrEx>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lang w:val="sv-SE"/>
              </w:rPr>
            </w:pPr>
            <w:r w:rsidRPr="00293B1F">
              <w:rPr>
                <w:b/>
                <w:bCs/>
                <w:noProof/>
                <w:lang w:val="sv-SE"/>
              </w:rPr>
              <w:t>D.2</w:t>
            </w:r>
          </w:p>
        </w:tc>
        <w:tc>
          <w:tcPr>
            <w:tcW w:w="951" w:type="pct"/>
            <w:tcBorders>
              <w:top w:val="single" w:sz="4" w:space="0" w:color="auto"/>
              <w:left w:val="single" w:sz="4" w:space="0" w:color="auto"/>
              <w:right w:val="single" w:sz="4" w:space="0" w:color="auto"/>
            </w:tcBorders>
          </w:tcPr>
          <w:p w:rsidR="00E55762" w:rsidRPr="00293B1F" w:rsidP="003722D9">
            <w:pPr>
              <w:pStyle w:val="BodyText"/>
              <w:jc w:val="left"/>
              <w:rPr>
                <w:b/>
                <w:bCs/>
                <w:noProof/>
                <w:lang w:val="sv-SE"/>
              </w:rPr>
            </w:pPr>
            <w:r>
              <w:rPr>
                <w:rFonts w:eastAsiaTheme="minorEastAsia"/>
                <w:b/>
                <w:bCs/>
                <w:noProof/>
                <w:lang w:val="sv-SE"/>
              </w:rPr>
              <w:t>Risker specifika för Emittenten</w:t>
            </w:r>
            <w:r w:rsidRPr="00293B1F">
              <w:rPr>
                <w:b/>
                <w:bCs/>
                <w:noProof/>
                <w:lang w:val="sv-SE"/>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rPr>
                <w:bCs/>
                <w:iCs/>
                <w:lang w:val="sv-SE"/>
              </w:rPr>
            </w:pPr>
            <w:r w:rsidRPr="00293B1F">
              <w:rPr>
                <w:rFonts w:eastAsiaTheme="minorEastAsia"/>
                <w:bCs/>
                <w:iCs/>
                <w:lang w:val="sv-SE"/>
              </w:rPr>
              <w:t>Vid förvärv av Instrument påtar sig investerarna risken att Emittenten</w:t>
            </w:r>
            <w:r>
              <w:rPr>
                <w:rStyle w:val="FootnoteReference"/>
                <w:b/>
                <w:bCs/>
              </w:rPr>
              <w:footnoteReference w:id="31"/>
            </w:r>
            <w:r w:rsidRPr="00293B1F">
              <w:rPr>
                <w:rFonts w:eastAsiaTheme="minorEastAsia"/>
                <w:bCs/>
                <w:iCs/>
                <w:lang w:val="sv-SE"/>
              </w:rPr>
              <w:t xml:space="preserve"> kan bli insolvent eller på annat sätt bli oförmögen att betala förfallna belopp hänförliga till Instrumenten. Det finns ett stort antal faktorer som var för sig eller tillsammans kan leda till att Emittenten blir oförmögen att betala förfallna belopp hänförliga till Instrumenten. Det är inte möjligt att identifiera alla sådana faktorer eller fastställa vilka faktorer som är mest troliga att inträffa, eftersom Emittenten kan vara ovetande om alla relevanta faktorer sant att vissa faktorer som denne för närvarande inte anser vara relevanta kan komma att bli relevanta till följd av händelser som inträffar och som befinner sig utanför Em</w:t>
            </w:r>
            <w:r>
              <w:rPr>
                <w:rFonts w:eastAsiaTheme="minorEastAsia"/>
                <w:bCs/>
                <w:iCs/>
                <w:lang w:val="sv-SE"/>
              </w:rPr>
              <w:t>ittentens</w:t>
            </w:r>
            <w:r w:rsidRPr="00D633E0">
              <w:rPr>
                <w:rFonts w:eastAsiaTheme="minorEastAsia"/>
                <w:bCs/>
                <w:iCs/>
                <w:vertAlign w:val="superscript"/>
                <w:lang w:val="sv-SE"/>
              </w:rPr>
              <w:t>1</w:t>
            </w:r>
            <w:r>
              <w:rPr>
                <w:rFonts w:eastAsiaTheme="minorEastAsia"/>
                <w:bCs/>
                <w:iCs/>
                <w:vertAlign w:val="superscript"/>
                <w:lang w:val="sv-SE"/>
              </w:rPr>
              <w:t>2</w:t>
            </w:r>
            <w:r>
              <w:rPr>
                <w:rFonts w:eastAsiaTheme="minorEastAsia"/>
                <w:bCs/>
                <w:iCs/>
                <w:lang w:val="sv-SE"/>
              </w:rPr>
              <w:t xml:space="preserve"> kontroll. Emittenten</w:t>
            </w:r>
            <w:r w:rsidRPr="00D633E0">
              <w:rPr>
                <w:rFonts w:eastAsiaTheme="minorEastAsia"/>
                <w:bCs/>
                <w:iCs/>
                <w:vertAlign w:val="superscript"/>
                <w:lang w:val="sv-SE"/>
              </w:rPr>
              <w:t>1</w:t>
            </w:r>
            <w:r>
              <w:rPr>
                <w:rFonts w:eastAsiaTheme="minorEastAsia"/>
                <w:bCs/>
                <w:iCs/>
                <w:vertAlign w:val="superscript"/>
                <w:lang w:val="sv-SE"/>
              </w:rPr>
              <w:t>2</w:t>
            </w:r>
            <w:r w:rsidRPr="00293B1F">
              <w:rPr>
                <w:rFonts w:eastAsiaTheme="minorEastAsia"/>
                <w:bCs/>
                <w:iCs/>
                <w:lang w:val="sv-SE"/>
              </w:rPr>
              <w:t xml:space="preserve"> har i Grundprospektet identifierat ett antal faktorer som avsevärt skulle kunna inverka negativt på dess respektive verksamhet och förmåga att under Instrumenten betala förfallna belopp. Dessa faktorer innefattar:</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keepNext/>
              <w:widowControl w:val="0"/>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lang w:val="sv-SE"/>
              </w:rPr>
            </w:pPr>
            <w:r w:rsidRPr="00293B1F">
              <w:rPr>
                <w:b/>
                <w:bCs/>
                <w:i/>
                <w:lang w:val="sv-SE"/>
              </w:rPr>
              <w:t>Risker med anknytning till aktuella makroekonomiska förhållanden</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widowControl w:val="0"/>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bCs/>
                <w:lang w:val="sv-SE"/>
              </w:rPr>
            </w:pPr>
            <w:r w:rsidRPr="00293B1F">
              <w:rPr>
                <w:rFonts w:eastAsiaTheme="minorEastAsia"/>
                <w:iCs/>
                <w:lang w:val="sv-SE"/>
              </w:rPr>
              <w:t>Risker med anknytning till den europeiska ekonomiska krisen har haft och kan, trots den senaste periodens stabilisering, även i fortsättningen komma att ha, en negativ påverkan på den globala ekonomin och finansmarknaderna. Om förhållandena kvarstår, eller om turbulens uppstår på dessa eller andra marknader, kan det på ett betydande sätt negativt påverka Nordeakoncernens förmåga att få tillgång till kapital och likviditet på ekonomiska villkor som Nordeakoncernen kan acceptera.</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iCs/>
                <w:lang w:val="sv-SE"/>
              </w:rPr>
              <w:t>Vidare påverkas Nordeakoncernens resultat på ett betydande sätt av det allmänna ekonomiska läget i de länder där den bedriver verksamhet, i synnerhet på de nordiska marknaderna (Danmark, Finland, Norge och Sverige). En negativ utveckling för ekonomin och marknadsförhållanden där koncernen bedriver verksamhet, kan negativt påverka koncernens verksamhet, finansiella tillstånd och verksamhetsresultat och det åtgärder som Nordeakoncernen vidtar kan visa sig otillräckliga för att minska kredit-, marknads- och likviditetsrisker.</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top w:val="single" w:sz="4" w:space="0" w:color="auto"/>
              <w:left w:val="single" w:sz="4" w:space="0" w:color="auto"/>
              <w:right w:val="single" w:sz="4" w:space="0" w:color="auto"/>
            </w:tcBorders>
          </w:tcPr>
          <w:p w:rsidR="00E55762" w:rsidRPr="00293B1F" w:rsidP="003722D9">
            <w:pPr>
              <w:rPr>
                <w:rFonts w:eastAsiaTheme="minorEastAsia" w:cs="Times"/>
                <w:iCs/>
                <w:shd w:val="clear" w:color="auto" w:fill="00FF00"/>
                <w:lang w:val="sv-SE" w:eastAsia="en-US" w:bidi="ar-SA"/>
              </w:rPr>
            </w:pPr>
            <w:r w:rsidRPr="00293B1F">
              <w:rPr>
                <w:rFonts w:eastAsiaTheme="minorEastAsia" w:cs="Times"/>
                <w:b/>
                <w:bCs/>
                <w:i/>
                <w:lang w:val="sv-SE" w:eastAsia="en-US" w:bidi="ar-SA"/>
              </w:rPr>
              <w:t>Risker med anknytning till Nordeakoncernens kreditportfölj</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keepNext/>
              <w:rPr>
                <w:bCs/>
                <w:lang w:val="sv-SE"/>
              </w:rPr>
            </w:pPr>
            <w:r w:rsidRPr="00293B1F">
              <w:rPr>
                <w:rFonts w:eastAsiaTheme="minorEastAsia"/>
                <w:iCs/>
                <w:lang w:val="sv-SE"/>
              </w:rPr>
              <w:t xml:space="preserve">Negativa ändringar i kreditvärdigheten hos Nordeakoncernens låntagare och motparter, eller en minskning i värdet för säkerheter, kommer sannolikt påverka Nordeakoncernens återhämtningsmöjligheter och värdet av dess tillgångar, vilket kan kräva en ökning av företagets enskilda regler och eventuellt i de kollektiva reglerna för dåliga lån. En betydande ökning i storleken på Nordeas avsättningar för låneförluster och låneförluster som inte täcks av avsättningar, skulle på ett betydande sätt negativt påverka Nordeakoncernens verksamhet, finansiella ställning och resultat. </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keepNext/>
              <w:rPr>
                <w:lang w:val="sv-SE"/>
              </w:rPr>
            </w:pPr>
            <w:r w:rsidRPr="00293B1F">
              <w:rPr>
                <w:rFonts w:eastAsiaTheme="minorEastAsia"/>
                <w:iCs/>
                <w:lang w:val="sv-SE"/>
              </w:rPr>
              <w:t>Nordeakoncernen är exponerad för motparters kreditrisker, förlikningsrisker och överlåtelserisker i förhållande till transaktioner som genomförs inom sektorn för finansiella tjänster och denna sektors handel med finansiella instrument. Om motparterna inte klarar att fullgöra sina åtaganden kan detta på ett betydande sätt negativt påverka Nordeakoncernens verksamhet, finansiella ställning och resultat.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top w:val="single" w:sz="4" w:space="0" w:color="auto"/>
              <w:left w:val="single" w:sz="4" w:space="0" w:color="auto"/>
              <w:right w:val="single" w:sz="4" w:space="0" w:color="auto"/>
            </w:tcBorders>
          </w:tcPr>
          <w:p w:rsidR="00E55762" w:rsidRPr="00293B1F" w:rsidP="003722D9">
            <w:pPr>
              <w:rPr>
                <w:rFonts w:eastAsiaTheme="minorEastAsia" w:cs="Times"/>
                <w:b/>
                <w:bCs/>
                <w:i/>
                <w:lang w:val="sv-SE" w:eastAsia="en-US" w:bidi="ar-SA"/>
              </w:rPr>
            </w:pPr>
            <w:r w:rsidRPr="00293B1F">
              <w:rPr>
                <w:rFonts w:eastAsiaTheme="minorEastAsia" w:cs="Times"/>
                <w:b/>
                <w:bCs/>
                <w:i/>
                <w:lang w:val="sv-SE" w:eastAsia="en-US" w:bidi="ar-SA"/>
              </w:rPr>
              <w:t>Risker med anknytning till marknadsexponering</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b/>
                <w:bCs/>
                <w:i/>
                <w:lang w:val="sv-SE"/>
              </w:rPr>
            </w:pPr>
            <w:r w:rsidRPr="00293B1F">
              <w:rPr>
                <w:rFonts w:eastAsiaTheme="minorEastAsia"/>
                <w:iCs/>
                <w:lang w:val="sv-SE"/>
              </w:rPr>
              <w:t>Värdet på finansiella instrument som ägs av Nordeakoncernen är känsliga för volatiliteten i, och korrelationer mellan, olika marknadsvariabler, bland annat räntor, kreditspridningar, aktiepriser och utländska valutakurser. Nedskrivningar eller avskrivningar som kostnadsförts kan på ett betydande sätt negativt påverka Nordeakoncernens verksamhet, ekonomiska läge och verksamhetsresultat, medan finansmarknadens resultat och volatila marknadsförhållanden kan resultera i en betydande minskning i Nordeakoncernens handels- och investeringsinkomster, eller leda till en handelsförlust.</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b/>
                <w:bCs/>
                <w:i/>
                <w:lang w:val="sv-SE" w:eastAsia="en-US" w:bidi="ar-SA"/>
              </w:rPr>
            </w:pPr>
            <w:r w:rsidRPr="00293B1F">
              <w:rPr>
                <w:rFonts w:eastAsiaTheme="minorEastAsia" w:cs="Times"/>
                <w:b/>
                <w:bCs/>
                <w:i/>
                <w:lang w:val="sv-SE" w:eastAsia="en-US" w:bidi="ar-SA"/>
              </w:rPr>
              <w:t>Nordeakoncernen är utsatt för strukturella marknadsrisker</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bCs/>
                <w:lang w:val="sv-SE"/>
              </w:rPr>
            </w:pPr>
            <w:r w:rsidRPr="00293B1F">
              <w:rPr>
                <w:rFonts w:eastAsiaTheme="minorEastAsia"/>
                <w:iCs/>
                <w:lang w:val="sv-SE"/>
              </w:rPr>
              <w:t>Nordeakoncernen är utsatt för strukturell ränteinkomstrisk när det råder ett missförhållande mellan perioder då räntesatser förändras, volymer eller referensräntor för sina tillgångar, skulder och derivat. Nordeakoncernen är även utsatt för valutakonverteringsrisk som uppstår genom företagets svenska och norska bankverksamheter när den sammanställer koncernens konsoliderade årsredovisning i sin funktionella valuta, euron. Om ett missförhållande råder under en viss period, vid ändringar i räntan, eller om valutariskexponeringen inte hedgas tillräckligt, kan det få en betydande negativ påverkan för Nordeakoncernens finansiella ställning och resultat.</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b/>
                <w:bCs/>
                <w:i/>
                <w:lang w:val="sv-SE" w:eastAsia="en-US" w:bidi="ar-SA"/>
              </w:rPr>
            </w:pPr>
            <w:r w:rsidRPr="00293B1F">
              <w:rPr>
                <w:rFonts w:eastAsiaTheme="minorEastAsia" w:cs="Times"/>
                <w:b/>
                <w:bCs/>
                <w:i/>
                <w:lang w:val="sv-SE" w:eastAsia="en-US" w:bidi="ar-SA"/>
              </w:rPr>
              <w:t>Risker med anknytning till likviditets- och kapitalkrav</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keepNext/>
              <w:rPr>
                <w:iCs/>
                <w:lang w:val="sv-SE"/>
              </w:rPr>
            </w:pPr>
            <w:r w:rsidRPr="00293B1F">
              <w:rPr>
                <w:rFonts w:eastAsiaTheme="minorEastAsia"/>
                <w:iCs/>
                <w:lang w:val="sv-SE"/>
              </w:rPr>
              <w:t>En betydande andel av Nordeakoncernens likviditets- och finansieringskrav uppfylls genom insättningar från kunder, samt även en kontinuerlig tillgång till marknader för storskaliga lån, bland annat utfärdandet av långfristiga skuldebrev, t.ex. säkerställda obligationer. Turbulens på de globala finansmarknaderna och ekonomin kan negativt påverka Nordeakoncernens likviditet och villigheten hos vissa motparter och kunder att göra affärer med Nordeakoncernen.</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lang w:val="sv-SE" w:eastAsia="en-US" w:bidi="ar-SA"/>
              </w:rPr>
            </w:pPr>
            <w:r w:rsidRPr="00293B1F">
              <w:rPr>
                <w:rFonts w:eastAsiaTheme="minorEastAsia" w:cs="Times"/>
                <w:iCs/>
                <w:lang w:val="sv-SE" w:eastAsia="en-US" w:bidi="ar-SA"/>
              </w:rPr>
              <w:t>Nordeakoncernens verksamhetsresultat kan påverkas om de kapitaltäckningsnivåer som måste upprätthållas enligt tillämpligt regelverk, innefattandes Europaparlamentets och Rådets direktiv 2013/36/EU, Europarlamentets och Rådets förordning nr. 575/2013 och de andra regler som reglerar kapitaltäckning, eller andra krav som är tillämpliga på någon Emittent eller Nordeakoncernen och som medför (ensamt eller tillsammans med andra regler och förordningar) krav för att finansiella instrument ska kunna inräknas i någon Emittents eller Nordeakoncernens regulatoriska kapital (var för sig eller på konsoliderad basis, som tillämpligt) i den utsträckning som krävs enligt direktiv 2013/36/EU, förordning nr. 575/2013, inklusive de tekniska standarder släppta av europeiska bankmyndigheten (EBA) (eller dess efterträdare eller ersättare) (</w:t>
            </w:r>
            <w:r>
              <w:rPr>
                <w:rFonts w:eastAsiaTheme="minorEastAsia" w:cs="Times"/>
                <w:iCs/>
                <w:lang w:val="sv-SE" w:eastAsia="en-US" w:bidi="ar-SA"/>
              </w:rPr>
              <w:t>"</w:t>
            </w:r>
            <w:r w:rsidRPr="00293B1F">
              <w:rPr>
                <w:rFonts w:eastAsiaTheme="minorEastAsia" w:cs="Times"/>
                <w:b/>
                <w:iCs/>
                <w:lang w:val="sv-SE" w:eastAsia="en-US" w:bidi="ar-SA"/>
              </w:rPr>
              <w:t>CRD IV</w:t>
            </w:r>
            <w:r>
              <w:rPr>
                <w:rFonts w:eastAsiaTheme="minorEastAsia" w:cs="Times"/>
                <w:iCs/>
                <w:lang w:val="sv-SE" w:eastAsia="en-US" w:bidi="ar-SA"/>
              </w:rPr>
              <w:t>"</w:t>
            </w:r>
            <w:r w:rsidRPr="00293B1F">
              <w:rPr>
                <w:rFonts w:eastAsiaTheme="minorEastAsia" w:cs="Times"/>
                <w:iCs/>
                <w:lang w:val="sv-SE" w:eastAsia="en-US" w:bidi="ar-SA"/>
              </w:rPr>
              <w:t>), minskar eller anses otillräckliga.</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rPr>
                <w:lang w:val="sv-SE"/>
              </w:rPr>
            </w:pPr>
            <w:r w:rsidRPr="00293B1F">
              <w:rPr>
                <w:rFonts w:eastAsiaTheme="minorEastAsia"/>
                <w:iCs/>
                <w:lang w:val="sv-SE"/>
              </w:rPr>
              <w:t>Nordeakoncernens finansieringskostnader och dess tillgång till skuldkapitalmarknader påverkas på ett betydande sätt av dess kreditbetyg. En sänkning av kreditbetyget kan negativt påverka Nordeakoncernens tillgång till likviditet och dess konkurrensläge, och därför på ett betydande sätt negativt påverka dess verksamhet, finansiella ställning och resultat.</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top w:val="single" w:sz="4" w:space="0" w:color="auto"/>
              <w:left w:val="single" w:sz="4" w:space="0" w:color="auto"/>
              <w:right w:val="single" w:sz="4" w:space="0" w:color="auto"/>
            </w:tcBorders>
          </w:tcPr>
          <w:p w:rsidR="00E55762" w:rsidRPr="00293B1F" w:rsidP="003722D9">
            <w:pPr>
              <w:rPr>
                <w:rFonts w:eastAsiaTheme="minorEastAsia" w:cs="Times"/>
                <w:b/>
                <w:bCs/>
                <w:i/>
                <w:lang w:val="sv-SE" w:eastAsia="en-US" w:bidi="ar-SA"/>
              </w:rPr>
            </w:pPr>
            <w:r w:rsidRPr="00293B1F">
              <w:rPr>
                <w:rFonts w:eastAsiaTheme="minorEastAsia" w:cs="Times"/>
                <w:b/>
                <w:bCs/>
                <w:i/>
                <w:lang w:val="sv-SE" w:eastAsia="en-US" w:bidi="ar-SA"/>
              </w:rPr>
              <w:t>Andra risker med anknytning till Nordeakoncernens verksamhet</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b/>
                <w:bCs/>
                <w:i/>
                <w:lang w:val="sv-SE"/>
              </w:rPr>
            </w:pPr>
            <w:r w:rsidRPr="00293B1F">
              <w:rPr>
                <w:rFonts w:eastAsiaTheme="minorEastAsia"/>
                <w:iCs/>
                <w:lang w:val="sv-SE"/>
              </w:rPr>
              <w:t>För att Nordeakoncernens verksamhet ska fungera måste företaget kunna genomföra ett stort antal komplexa transaktioner på olika marknader i många valutor. Transaktioner genomförs genom många olika enheter. Trots att Nordeakoncernen har implementerat riskkontroller och vidtagit andra åtgärder för att minska exponeringen och/eller förlusterna, finns inga garantier för att sådana procedurer kommer att vara effektiva i att hantera de olika verksamhetsrisker som Nordeakoncernen står inför, eller att Nordeakoncernens rykte inte skadas genom förekomsten av operationell risk.</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keepNext/>
              <w:rPr>
                <w:lang w:val="sv-SE"/>
              </w:rPr>
            </w:pPr>
            <w:r w:rsidRPr="00293B1F">
              <w:rPr>
                <w:rFonts w:eastAsiaTheme="minorEastAsia"/>
                <w:iCs/>
                <w:lang w:val="sv-SE"/>
              </w:rPr>
              <w:t>Nordeakoncernens verksamheter i Ryssland och Baltikum – marknader som vanligen är mer volatila och mindre ekonomiskt och politiskt utvecklade än marknaderna i Västeuropa och Nordamerika – innebär olika risker som inte gäller, eller gäller i mindre grad, för företagets verksamheter i Norden. Vidare är vissa av dessa marknader vanligtvis mer volatila och mindre utvecklade rent ekonomiskt och politisk än marknader i Västeuropa och Nordamerika.</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iCs/>
                <w:lang w:val="sv-SE"/>
              </w:rPr>
            </w:pPr>
            <w:r w:rsidRPr="00293B1F">
              <w:rPr>
                <w:rFonts w:eastAsiaTheme="minorEastAsia"/>
                <w:iCs/>
                <w:lang w:val="sv-SE"/>
              </w:rPr>
              <w:t>Nordeakoncernens resultat bygger till stor del på dess anställdas höga kompetens och yrkesskicklighet. Nordeakoncernens fortsatta förmåga att konkurrera effektivt och implementera sin strategi är beroende av förmågan att dra till sig nya anställda och att behålla och motivera befintliga anställda. Nya regulatoriska begränsningar, såsom nyligen införda begränsningar på vissa typer av ersättningar som får betalas av kreditinstitut och värdepappersbolag som följer av CRD IV, kan negativt inverka på Nordeakoncernens förmåga att attrahera ny personal och att behålla och motivera nuvarande personal. Förluster av vissa nyckelpersoner, särskilt om de går över till konkurrenter, eller en oförmåga att dra till sig och behålla högkompetent personal i framtiden, kan få en negativ effekt på Nordeakoncernens verksamhet.</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710BF5" w:rsidP="003722D9">
            <w:pPr>
              <w:spacing w:after="160"/>
              <w:rPr>
                <w:rFonts w:eastAsiaTheme="minorEastAsia" w:cs="Times"/>
                <w:iCs/>
                <w:lang w:val="sv-SE" w:eastAsia="en-US" w:bidi="ar-SA"/>
              </w:rPr>
            </w:pPr>
            <w:r w:rsidRPr="00293B1F">
              <w:rPr>
                <w:rFonts w:eastAsiaTheme="minorEastAsia" w:cs="Times"/>
                <w:iCs/>
                <w:lang w:val="sv-SE" w:eastAsia="en-US" w:bidi="ar-SA"/>
              </w:rPr>
              <w:t xml:space="preserve">Det råder konkurrens om de olika typer av banktjänster och produkter som Nordeakoncernen erbjuder. Det finns inga garantier för att Nordeakoncernen kommer att behålla sin konkurrensposition. </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rPr>
                <w:rFonts w:eastAsiaTheme="minorEastAsia" w:cs="Times"/>
                <w:iCs/>
                <w:shd w:val="clear" w:color="auto" w:fill="00FF00"/>
                <w:lang w:val="sv-SE" w:eastAsia="en-US" w:bidi="ar-SA"/>
              </w:rPr>
            </w:pPr>
            <w:r>
              <w:rPr>
                <w:rStyle w:val="FootnoteReference"/>
                <w:b/>
                <w:bCs/>
                <w:i/>
                <w:lang w:val="sv-SE" w:eastAsia="en-US"/>
              </w:rPr>
              <w:footnoteReference w:id="32"/>
            </w:r>
            <w:r w:rsidRPr="00293B1F">
              <w:rPr>
                <w:rFonts w:eastAsiaTheme="minorEastAsia" w:cs="Times"/>
                <w:b/>
                <w:bCs/>
                <w:i/>
                <w:lang w:val="sv-SE" w:eastAsia="en-US" w:bidi="ar-SA"/>
              </w:rPr>
              <w:t>Risker med anknytning till lagar och regulatoriska krav på området där Nordeakoncernen bedriver sin verksamhet</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spacing w:after="160"/>
              <w:rPr>
                <w:b/>
                <w:bCs/>
                <w:i/>
                <w:lang w:val="sv-SE"/>
              </w:rPr>
            </w:pPr>
            <w:r w:rsidRPr="00293B1F">
              <w:rPr>
                <w:rFonts w:eastAsiaTheme="minorEastAsia"/>
                <w:iCs/>
                <w:lang w:val="sv-SE"/>
              </w:rPr>
              <w:t>Nordeakoncernen måste följa ett stort antal regler och kontrolleras av olika myndigheter, såväl som lagar och bestämmelser, administrativa påbud och policys i de olika jurisdiktioner som företaget verkar, vilka alla kan ändras. Detta kan vid var tid för förändring innebära betydande utgifter.</w:t>
            </w:r>
          </w:p>
        </w:tc>
      </w:tr>
      <w:tr w:rsidTr="003722D9">
        <w:tblPrEx>
          <w:tblW w:w="5000" w:type="pct"/>
          <w:tblLayout w:type="fixed"/>
          <w:tblLook w:val="0000"/>
        </w:tblPrEx>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top w:val="single" w:sz="4" w:space="0" w:color="auto"/>
              <w:left w:val="single" w:sz="4" w:space="0" w:color="auto"/>
              <w:right w:val="single" w:sz="4" w:space="0" w:color="auto"/>
            </w:tcBorders>
          </w:tcPr>
          <w:p w:rsidR="00E55762" w:rsidRPr="00293B1F" w:rsidP="003722D9">
            <w:pPr>
              <w:pStyle w:val="BodyText"/>
              <w:keepNext/>
              <w:spacing w:after="160"/>
              <w:rPr>
                <w:lang w:val="sv-SE"/>
              </w:rPr>
            </w:pPr>
            <w:r w:rsidRPr="00293B1F">
              <w:rPr>
                <w:rFonts w:eastAsiaTheme="minorEastAsia"/>
                <w:iCs/>
                <w:lang w:val="sv-SE"/>
              </w:rPr>
              <w:t>Nordeakoncernen kan ådra sig betydande kostnader för kontroller och uppfyllandet av nya kapitalkrav, samt krav på återvinning och upplösning, vilket även kan påverka befintliga affärsmodeller. Vidare finns inga garantier om att brott mot lagar och bestämmelser av Nordeakoncernen inte sker eller att, om ett sådant brott sker, företaget inte får betala stora skadestånd eller böter.</w:t>
            </w:r>
          </w:p>
        </w:tc>
      </w:tr>
      <w:tr w:rsidTr="003722D9">
        <w:tblPrEx>
          <w:tblW w:w="5000" w:type="pct"/>
          <w:tblLayout w:type="fixed"/>
          <w:tblLook w:val="0000"/>
        </w:tblPrEx>
        <w:trPr>
          <w:cantSplit/>
        </w:trPr>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spacing w:after="160"/>
              <w:rPr>
                <w:lang w:val="sv-SE"/>
              </w:rPr>
            </w:pPr>
            <w:r w:rsidRPr="00293B1F">
              <w:rPr>
                <w:rFonts w:eastAsiaTheme="minorEastAsia"/>
                <w:iCs/>
                <w:lang w:val="sv-SE"/>
              </w:rPr>
              <w:t xml:space="preserve">Under normal drift av verksamheten är Nordeakoncern utsatt för risker med anknytning till myndigheters tillsyn och skadeståndskyldighet. Nordeakoncernen är föremål för många olika anspråk, tvister, processer och statliga utredningar i jurisdiktioner där företaget är aktivt. Dessa slags anspråk och processer utsätter Nordeakoncernen för risker för monetära skadestånd, direkta eller indirekta förluster (bl.a. rättskostnader), direkt eller indirekt ekonomisk </w:t>
            </w:r>
            <w:r w:rsidRPr="00932085">
              <w:rPr>
                <w:rFonts w:eastAsiaTheme="minorEastAsia"/>
                <w:iCs/>
                <w:lang w:val="sv-SE"/>
              </w:rPr>
              <w:t>förlust, civilrättsliga och straffrättsliga sanktioner, förlust av licenser eller renomméförlust, kritik eller sanktioner från övervakande myndigheter, samt även risken</w:t>
            </w:r>
            <w:r w:rsidRPr="00293B1F">
              <w:rPr>
                <w:rFonts w:eastAsiaTheme="minorEastAsia"/>
                <w:iCs/>
                <w:lang w:val="sv-SE"/>
              </w:rPr>
              <w:t xml:space="preserve"> för restriktioner för verksamhetens fortsatta drift.</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lang w:val="sv-SE"/>
              </w:rPr>
            </w:pPr>
          </w:p>
        </w:tc>
        <w:tc>
          <w:tcPr>
            <w:tcW w:w="951" w:type="pct"/>
            <w:tcBorders>
              <w:left w:val="single" w:sz="4" w:space="0" w:color="auto"/>
              <w:right w:val="single" w:sz="4" w:space="0" w:color="auto"/>
            </w:tcBorders>
          </w:tcPr>
          <w:p w:rsidR="00E55762" w:rsidRPr="00293B1F" w:rsidP="003722D9">
            <w:pPr>
              <w:pStyle w:val="BodyText"/>
              <w:jc w:val="left"/>
              <w:rPr>
                <w:b/>
                <w:bCs/>
                <w:noProof/>
                <w:lang w:val="sv-SE"/>
              </w:rPr>
            </w:pPr>
          </w:p>
        </w:tc>
        <w:tc>
          <w:tcPr>
            <w:tcW w:w="3661" w:type="pct"/>
            <w:tcBorders>
              <w:left w:val="single" w:sz="4" w:space="0" w:color="auto"/>
              <w:right w:val="single" w:sz="4" w:space="0" w:color="auto"/>
            </w:tcBorders>
          </w:tcPr>
          <w:p w:rsidR="00E55762" w:rsidRPr="00293B1F" w:rsidP="003722D9">
            <w:pPr>
              <w:pStyle w:val="BodyText"/>
              <w:rPr>
                <w:lang w:val="sv-SE"/>
              </w:rPr>
            </w:pPr>
            <w:r w:rsidRPr="00293B1F">
              <w:rPr>
                <w:rFonts w:eastAsiaTheme="minorEastAsia"/>
                <w:iCs/>
                <w:lang w:val="sv-SE"/>
              </w:rPr>
              <w:t>Nordeakoncernens verksamhet beskattas olika runt om i världen i enlighet med lokala lagar och praxis. Lagändringar eller beslut av skattemyndigheterna kan skada Nordeakoncernens nuvarande eller tidigare skatteläge.</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keepNext/>
              <w:rPr>
                <w:b/>
                <w:bCs/>
                <w:noProof/>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noProof/>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keepNext/>
              <w:rPr>
                <w:iCs/>
                <w:lang w:val="sv-SE"/>
              </w:rPr>
            </w:pPr>
            <w:r w:rsidRPr="00293B1F">
              <w:rPr>
                <w:iCs/>
                <w:lang w:val="sv-SE"/>
              </w:rPr>
              <w:t xml:space="preserve">Förändringar i redovisningspolicys och –standarder tillämpliga för Nordeakoncernen kan också komma att väsentligt påverka hur den rapporterar sin finansiella ställning och sitt rörelseresultat. </w:t>
            </w:r>
          </w:p>
        </w:tc>
      </w:tr>
      <w:tr w:rsidTr="003722D9">
        <w:tblPrEx>
          <w:tblW w:w="5000" w:type="pct"/>
          <w:tblLayout w:type="fixed"/>
          <w:tblLook w:val="0000"/>
        </w:tblPrEx>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rPr>
            </w:pPr>
            <w:r w:rsidRPr="00293B1F">
              <w:rPr>
                <w:b/>
                <w:bCs/>
                <w:noProof/>
              </w:rPr>
              <w:t>D.6</w:t>
            </w: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noProof/>
              </w:rPr>
            </w:pPr>
            <w:r w:rsidRPr="00293B1F">
              <w:rPr>
                <w:rFonts w:eastAsiaTheme="minorEastAsia"/>
                <w:b/>
                <w:bCs/>
                <w:lang w:val="sv-SE"/>
              </w:rPr>
              <w:t>Riskvarning</w:t>
            </w:r>
            <w:r w:rsidRPr="00293B1F">
              <w:rPr>
                <w:b/>
                <w:bCs/>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keepNext/>
              <w:rPr>
                <w:szCs w:val="20"/>
                <w:lang w:val="sv-SE"/>
              </w:rPr>
            </w:pPr>
            <w:r w:rsidRPr="00293B1F">
              <w:rPr>
                <w:szCs w:val="20"/>
                <w:lang w:val="sv-SE"/>
              </w:rPr>
              <w:t>Denna risksammanfattning utgör endast en kort beskrivning av vissa väsentliga risker och ska inte ses som en uttömmande uppräkning av alla risker som följer med Instrumenten eller en investering i desamma. Investeraren bör noggrant granska och överväga dessa risker samt all annan information i Grundprospektet. Vissa risker hänför sig till om</w:t>
            </w:r>
            <w:r>
              <w:rPr>
                <w:szCs w:val="20"/>
                <w:lang w:val="sv-SE"/>
              </w:rPr>
              <w:t>ständigheter bortom Emittenten</w:t>
            </w:r>
            <w:r w:rsidRPr="00293B1F">
              <w:rPr>
                <w:szCs w:val="20"/>
                <w:lang w:val="sv-SE"/>
              </w:rPr>
              <w:t>s</w:t>
            </w:r>
            <w:r>
              <w:rPr>
                <w:rStyle w:val="FootnoteReference"/>
                <w:lang w:val="sv-SE"/>
              </w:rPr>
              <w:footnoteReference w:id="33"/>
            </w:r>
            <w:r w:rsidRPr="00293B1F">
              <w:rPr>
                <w:szCs w:val="20"/>
                <w:lang w:val="sv-SE"/>
              </w:rPr>
              <w:t xml:space="preserve"> kontroll, t.ex. uppkomsten av en effektiv andrahandsmarknad, stabiliteten hos de relevanta clearing- och avräkningssystemen samt det makroekonomiska läget i de nordiska ekonomiera och världen i stort. </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keepN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cs="Times"/>
                <w:iCs/>
                <w:szCs w:val="20"/>
                <w:lang w:val="sv-SE" w:eastAsia="sv-SE"/>
              </w:rPr>
            </w:pPr>
            <w:r w:rsidRPr="00293B1F">
              <w:rPr>
                <w:rFonts w:cs="Times"/>
                <w:b/>
                <w:i/>
                <w:iCs/>
                <w:szCs w:val="20"/>
                <w:lang w:val="sv-SE" w:eastAsia="sv-SE"/>
              </w:rPr>
              <w:t>Produktens komplexitet</w:t>
            </w:r>
            <w:r w:rsidRPr="00293B1F">
              <w:rPr>
                <w:rFonts w:cs="Times"/>
                <w:iCs/>
                <w:szCs w:val="20"/>
                <w:lang w:val="sv-SE" w:eastAsia="sv-SE"/>
              </w:rPr>
              <w:t xml:space="preserve"> – Avkastningsstrukturen för Instrumenten är ibland komplex och kan innehålla matematiska formler eller samband som, för en investerare, kan vara svåra att förstå och jämföra med andra investeringsalternativ. Noteras bör att relationen mellan avkastning och risk kan vara svår att utvärdera.</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cs="Times"/>
                <w:iCs/>
                <w:szCs w:val="20"/>
                <w:lang w:val="sv-SE" w:eastAsia="sv-SE"/>
              </w:rPr>
            </w:pPr>
            <w:r w:rsidRPr="00293B1F">
              <w:rPr>
                <w:b/>
                <w:i/>
                <w:iCs/>
                <w:szCs w:val="20"/>
                <w:lang w:val="sv-SE"/>
              </w:rPr>
              <w:t>Prissättning av Instrument</w:t>
            </w:r>
            <w:r w:rsidRPr="00293B1F">
              <w:rPr>
                <w:i/>
                <w:iCs/>
                <w:szCs w:val="20"/>
                <w:lang w:val="sv-SE"/>
              </w:rPr>
              <w:t xml:space="preserve"> </w:t>
            </w:r>
            <w:r w:rsidRPr="00293B1F">
              <w:rPr>
                <w:szCs w:val="20"/>
                <w:lang w:val="sv-SE"/>
              </w:rPr>
              <w:t>– Prissättningen av Instrumenten bestäms vanligen av Emittenten</w:t>
            </w:r>
            <w:r w:rsidRPr="00D633E0">
              <w:rPr>
                <w:rFonts w:eastAsiaTheme="minorEastAsia"/>
                <w:bCs/>
                <w:iCs/>
                <w:vertAlign w:val="superscript"/>
                <w:lang w:val="sv-SE"/>
              </w:rPr>
              <w:t>14</w:t>
            </w:r>
            <w:r w:rsidRPr="00293B1F">
              <w:rPr>
                <w:szCs w:val="20"/>
                <w:lang w:val="sv-SE"/>
              </w:rPr>
              <w:t>, och inte utifrån förhandlade vi</w:t>
            </w:r>
            <w:r>
              <w:rPr>
                <w:szCs w:val="20"/>
                <w:lang w:val="sv-SE"/>
              </w:rPr>
              <w:t xml:space="preserve">llkor. Det kan därför uppstå </w:t>
            </w:r>
            <w:r w:rsidRPr="00293B1F">
              <w:rPr>
                <w:szCs w:val="20"/>
                <w:lang w:val="sv-SE"/>
              </w:rPr>
              <w:t>intressekonflikt</w:t>
            </w:r>
            <w:r>
              <w:rPr>
                <w:szCs w:val="20"/>
                <w:lang w:val="sv-SE"/>
              </w:rPr>
              <w:t>er</w:t>
            </w:r>
            <w:r w:rsidRPr="00293B1F">
              <w:rPr>
                <w:szCs w:val="20"/>
                <w:lang w:val="sv-SE"/>
              </w:rPr>
              <w:t xml:space="preserve"> mellan Emittenten</w:t>
            </w:r>
            <w:r w:rsidRPr="00D633E0">
              <w:rPr>
                <w:rFonts w:eastAsiaTheme="minorEastAsia"/>
                <w:bCs/>
                <w:iCs/>
                <w:vertAlign w:val="superscript"/>
                <w:lang w:val="sv-SE"/>
              </w:rPr>
              <w:t>14</w:t>
            </w:r>
            <w:r w:rsidRPr="00293B1F">
              <w:rPr>
                <w:szCs w:val="20"/>
                <w:lang w:val="sv-SE"/>
              </w:rPr>
              <w:t xml:space="preserve"> och investerarna, i det att Emittenten</w:t>
            </w:r>
            <w:r w:rsidRPr="00D633E0">
              <w:rPr>
                <w:rFonts w:eastAsiaTheme="minorEastAsia"/>
                <w:bCs/>
                <w:iCs/>
                <w:vertAlign w:val="superscript"/>
                <w:lang w:val="sv-SE"/>
              </w:rPr>
              <w:t>14</w:t>
            </w:r>
            <w:r w:rsidRPr="00293B1F">
              <w:rPr>
                <w:szCs w:val="20"/>
                <w:lang w:val="sv-SE"/>
              </w:rPr>
              <w:t xml:space="preserve"> kan påverka prissättningen och försöker generera en vinst eller undvika en förlust i relation till de underliggande underl</w:t>
            </w:r>
            <w:r>
              <w:rPr>
                <w:szCs w:val="20"/>
                <w:lang w:val="sv-SE"/>
              </w:rPr>
              <w:t>iggande tillgångarna. Emittente</w:t>
            </w:r>
            <w:r w:rsidRPr="00293B1F">
              <w:rPr>
                <w:szCs w:val="20"/>
                <w:lang w:val="sv-SE"/>
              </w:rPr>
              <w:t>n</w:t>
            </w:r>
            <w:r w:rsidRPr="00D633E0">
              <w:rPr>
                <w:rFonts w:eastAsiaTheme="minorEastAsia"/>
                <w:bCs/>
                <w:iCs/>
                <w:vertAlign w:val="superscript"/>
                <w:lang w:val="sv-SE"/>
              </w:rPr>
              <w:t>14</w:t>
            </w:r>
            <w:r w:rsidRPr="00293B1F">
              <w:rPr>
                <w:szCs w:val="20"/>
                <w:lang w:val="sv-SE"/>
              </w:rPr>
              <w:t xml:space="preserve"> </w:t>
            </w:r>
            <w:r>
              <w:rPr>
                <w:szCs w:val="20"/>
                <w:lang w:val="sv-SE"/>
              </w:rPr>
              <w:t xml:space="preserve">är inte skyldiga </w:t>
            </w:r>
            <w:r w:rsidRPr="00293B1F">
              <w:rPr>
                <w:szCs w:val="20"/>
                <w:lang w:val="sv-SE"/>
              </w:rPr>
              <w:t>att agera i Innehavarnas intresse.</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rFonts w:cs="Times"/>
                <w:iCs/>
                <w:szCs w:val="20"/>
                <w:lang w:val="sv-SE" w:eastAsia="sv-SE"/>
              </w:rPr>
            </w:pPr>
            <w:r w:rsidRPr="00293B1F">
              <w:rPr>
                <w:rFonts w:cs="Times"/>
                <w:b/>
                <w:i/>
                <w:iCs/>
                <w:szCs w:val="20"/>
                <w:lang w:val="sv-SE" w:eastAsia="sv-SE"/>
              </w:rPr>
              <w:t>Underliggande tillgångars värdeutveckling</w:t>
            </w:r>
            <w:r w:rsidRPr="00293B1F">
              <w:rPr>
                <w:rFonts w:cs="Times"/>
                <w:i/>
                <w:iCs/>
                <w:szCs w:val="20"/>
                <w:lang w:val="sv-SE" w:eastAsia="sv-SE"/>
              </w:rPr>
              <w:t xml:space="preserve"> –</w:t>
            </w:r>
            <w:r w:rsidRPr="00293B1F">
              <w:rPr>
                <w:rFonts w:cs="Times"/>
                <w:iCs/>
                <w:szCs w:val="20"/>
                <w:lang w:val="sv-SE" w:eastAsia="sv-SE"/>
              </w:rPr>
              <w:t xml:space="preserve"> Med Instrumenten är Innehavarnas rätt till avkastning och ibland återbetalningen av kapitalbeloppet, beroende av hur bra utvecklingen är för en eller flera underliggande tillgångar och den gällande avkastningsstrukturen. Värdet på Instrumenten påverkas av värdet på de underliggande tillgångarna vid vissa tidpunkter under Instrumentens löptid, hur starkt kurserna hos de underliggande tillgångarna varierar, förväntningarna angående den framtida </w:t>
            </w:r>
            <w:r w:rsidRPr="00293B1F">
              <w:rPr>
                <w:rFonts w:cs="Times"/>
                <w:iCs/>
                <w:szCs w:val="20"/>
                <w:lang w:val="sv-SE" w:eastAsia="sv-SE"/>
              </w:rPr>
              <w:t xml:space="preserve">volatiliteten, marknadsräntor och förväntade utdelningar på de underliggande tillgångarna. I vissa situationer kan en investerare komma att förlora hela det investerade kapitalet. </w:t>
            </w:r>
          </w:p>
        </w:tc>
      </w:tr>
      <w:tr w:rsidTr="003722D9">
        <w:tblPrEx>
          <w:tblW w:w="5000" w:type="pct"/>
          <w:tblLayout w:type="fixed"/>
          <w:tblLook w:val="0000"/>
        </w:tblPrEx>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rPr>
                <w:rFonts w:cs="Times"/>
                <w:iCs/>
                <w:szCs w:val="20"/>
                <w:lang w:val="sv-SE" w:eastAsia="sv-SE"/>
              </w:rPr>
            </w:pPr>
            <w:r w:rsidRPr="00293B1F">
              <w:rPr>
                <w:rFonts w:eastAsiaTheme="minorEastAsia" w:cs="Times"/>
                <w:b/>
                <w:iCs/>
                <w:lang w:val="sv-SE" w:eastAsia="en-US" w:bidi="ar-SA"/>
              </w:rPr>
              <w:t>[</w:t>
            </w:r>
            <w:r w:rsidRPr="00293B1F">
              <w:rPr>
                <w:rFonts w:eastAsiaTheme="minorEastAsia" w:cs="Times"/>
                <w:b/>
                <w:i/>
                <w:iCs/>
                <w:lang w:val="sv-SE" w:eastAsia="en-US" w:bidi="ar-SA"/>
              </w:rPr>
              <w:t xml:space="preserve">Växelkursfluktuationer </w:t>
            </w:r>
            <w:r w:rsidRPr="00293B1F">
              <w:rPr>
                <w:rFonts w:cs="Times"/>
                <w:iCs/>
                <w:szCs w:val="20"/>
                <w:lang w:val="sv-SE" w:eastAsia="sv-SE"/>
              </w:rPr>
              <w:t xml:space="preserve">– I de fall där de underliggande tillgångarna är noterade i en annan valuta än investerarens valuta kan växelkursfluktuationer påverka avkastningen på Instrumenten. Växelkurserna för utländsk valuta </w:t>
            </w:r>
            <w:r w:rsidRPr="00293B1F">
              <w:rPr>
                <w:rFonts w:eastAsiaTheme="minorEastAsia" w:cs="Times"/>
                <w:lang w:val="sv-SE" w:eastAsia="en-US" w:bidi="ar-SA"/>
              </w:rPr>
              <w:t>kan påverkas av komplexa politiska och ekonomiska faktorer, inklusive relativa inflationstakter, betalningsbalansen mellan länder, storleken på regeringars budgetöverskott eller budgetunderskott och den monetära, skatte- och/eller handelspolitiska policy som följs av de relevanta valutornas regeringar. Valutafluktuationer kan påverka värdet eller nivån hos de underliggande tillgångarna på komplexa sätt. Om sådana valutafluktuationer får värdet eller nivån hos en eller flera underliggande tillgångar att variera, så kan värdet eller nivån på Instrumenten falla. Om värdet eller nivån hos en eller flera underliggande tillgångar är utfärdade i en valuta som är annan än valutan i vilken Instrumenten är utfärdade, så kan investerarna vara utsatta för en ökad risk som kommer från växelkurser för främmande valutor. Tidigare växelkurser för utländska valutor är inte nödvändigtvis indikationer beträffande framtida växelkurser för utländska valutor.]</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293B1F" w:rsidP="003722D9">
            <w:pPr>
              <w:rPr>
                <w:szCs w:val="20"/>
                <w:lang w:val="sv-SE"/>
              </w:rPr>
            </w:pPr>
            <w:r w:rsidRPr="00293B1F">
              <w:rPr>
                <w:rFonts w:eastAsiaTheme="minorEastAsia" w:cs="Times"/>
                <w:iCs/>
                <w:lang w:val="sv-SE" w:eastAsia="en-US" w:bidi="ar-SA"/>
              </w:rPr>
              <w:t>[</w:t>
            </w:r>
            <w:r w:rsidRPr="00293B1F">
              <w:rPr>
                <w:rFonts w:eastAsiaTheme="minorEastAsia" w:cs="Times"/>
                <w:b/>
                <w:i/>
                <w:iCs/>
                <w:lang w:val="sv-SE" w:eastAsia="en-US" w:bidi="ar-SA"/>
              </w:rPr>
              <w:t>Aktier som underliggande tillgång</w:t>
            </w:r>
            <w:r w:rsidRPr="00293B1F">
              <w:rPr>
                <w:rFonts w:eastAsiaTheme="minorEastAsia" w:cs="Times"/>
                <w:i/>
                <w:iCs/>
                <w:lang w:val="sv-SE" w:eastAsia="en-US" w:bidi="ar-SA"/>
              </w:rPr>
              <w:t xml:space="preserve"> </w:t>
            </w:r>
            <w:r w:rsidRPr="00293B1F">
              <w:rPr>
                <w:rFonts w:eastAsiaTheme="minorEastAsia" w:cs="Times"/>
                <w:lang w:val="sv-SE" w:eastAsia="en-US" w:bidi="ar-SA"/>
              </w:rPr>
              <w:t xml:space="preserve">– Aktielänkade Instrument är inte sponsrade eller främjade av emittenten av aktierna. Emittenten av aktierna har därför inte någon skyldighet att beakta intresset för de som investerat i Instrumenten och åtgärder tagna av en sådan emittent av aktier kan negativt påverka Instrumentens marknadsvärde. </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keepN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293B1F" w:rsidP="003722D9">
            <w:pPr>
              <w:keepNext/>
              <w:rPr>
                <w:szCs w:val="20"/>
                <w:lang w:val="sv-SE"/>
              </w:rPr>
            </w:pPr>
            <w:r w:rsidRPr="00293B1F">
              <w:rPr>
                <w:szCs w:val="20"/>
                <w:lang w:val="sv-SE"/>
              </w:rPr>
              <w:t>Den som investerat i Instrumenten har inte rätt att få några utbetalningar eller andra utdelningar till vilka en direkt ägare av de underliggande aktierna annars skulle ha rätt.]</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293B1F" w:rsidP="003722D9">
            <w:pPr>
              <w:rPr>
                <w:rFonts w:cs="Times"/>
                <w:iCs/>
                <w:szCs w:val="20"/>
                <w:lang w:val="sv-SE" w:eastAsia="sv-SE"/>
              </w:rPr>
            </w:pPr>
            <w:r w:rsidRPr="00293B1F">
              <w:rPr>
                <w:rFonts w:eastAsiaTheme="minorEastAsia" w:cs="Times"/>
                <w:iCs/>
                <w:lang w:val="sv-SE" w:eastAsia="en-US" w:bidi="ar-SA"/>
              </w:rPr>
              <w:t>[</w:t>
            </w:r>
            <w:r w:rsidRPr="00293B1F">
              <w:rPr>
                <w:rFonts w:eastAsiaTheme="minorEastAsia" w:cs="Times"/>
                <w:b/>
                <w:i/>
                <w:iCs/>
                <w:lang w:val="sv-SE" w:eastAsia="en-US" w:bidi="ar-SA"/>
              </w:rPr>
              <w:t>Index som underliggande tillgång</w:t>
            </w:r>
            <w:r w:rsidRPr="00293B1F">
              <w:rPr>
                <w:rFonts w:eastAsiaTheme="minorEastAsia" w:cs="Times"/>
                <w:i/>
                <w:iCs/>
                <w:lang w:val="sv-SE" w:eastAsia="en-US" w:bidi="ar-SA"/>
              </w:rPr>
              <w:t xml:space="preserve"> </w:t>
            </w:r>
            <w:r w:rsidRPr="00293B1F">
              <w:rPr>
                <w:rFonts w:eastAsiaTheme="minorEastAsia" w:cs="Times"/>
                <w:lang w:val="sv-SE" w:eastAsia="en-US" w:bidi="ar-SA"/>
              </w:rPr>
              <w:t xml:space="preserve">– Investerare i Instrument som baserar sig på index som underliggande tillgång kan få lägre betalning vid inlösen av sådana Instrument än om hen hade investerat direkt i de aktier/tillgångar som utgör indexet. Sponsorn av vilket som helst index kan lägga till, ta bort eller ersätta komponenter eller göra metodändringar som kan påverka nivån på sådant index och därmed den avkastning som skall betalas till investerare i Instrumenten. Nordeakoncernen kan också ta del i att skapa, strukturera och underhålla indexportföljer och indexstrategier (och kan även agera indexsponsor i förhållande därtill) (gemensamt </w:t>
            </w:r>
            <w:r>
              <w:rPr>
                <w:rFonts w:eastAsiaTheme="minorEastAsia" w:cs="Times"/>
                <w:lang w:val="sv-SE" w:eastAsia="en-US" w:bidi="ar-SA"/>
              </w:rPr>
              <w:t>"</w:t>
            </w:r>
            <w:r w:rsidRPr="00293B1F">
              <w:rPr>
                <w:rFonts w:eastAsiaTheme="minorEastAsia" w:cs="Times"/>
                <w:b/>
                <w:lang w:val="sv-SE" w:eastAsia="en-US" w:bidi="ar-SA"/>
              </w:rPr>
              <w:t>Egna Sammansatta Index</w:t>
            </w:r>
            <w:r>
              <w:rPr>
                <w:rFonts w:eastAsiaTheme="minorEastAsia" w:cs="Times"/>
                <w:lang w:val="sv-SE" w:eastAsia="en-US" w:bidi="ar-SA"/>
              </w:rPr>
              <w:t>"</w:t>
            </w:r>
            <w:r w:rsidRPr="00293B1F">
              <w:rPr>
                <w:rFonts w:eastAsiaTheme="minorEastAsia" w:cs="Times"/>
                <w:lang w:val="sv-SE" w:eastAsia="en-US" w:bidi="ar-SA"/>
              </w:rPr>
              <w:t xml:space="preserve">). </w:t>
            </w:r>
            <w:r w:rsidRPr="00710BF5">
              <w:rPr>
                <w:rFonts w:eastAsiaTheme="minorEastAsia" w:cs="Times"/>
                <w:lang w:val="sv-SE" w:eastAsia="en-US" w:bidi="ar-SA"/>
              </w:rPr>
              <w:t>Det kan därför uppstå intressekonflikter för Emittenten i dess roll som emittent och dess (eller dess närståendes roll) i att upprätta, marknadsföra, främja eller administrera sådana index.</w:t>
            </w:r>
            <w:r w:rsidRPr="00293B1F">
              <w:rPr>
                <w:rFonts w:eastAsiaTheme="minorEastAsia" w:cs="Times"/>
                <w:lang w:val="sv-SE" w:eastAsia="en-US" w:bidi="ar-SA"/>
              </w:rPr>
              <w:t>]</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rFonts w:cs="Times"/>
                <w:iCs/>
                <w:szCs w:val="20"/>
                <w:lang w:val="sv-SE" w:eastAsia="sv-SE"/>
              </w:rPr>
            </w:pPr>
            <w:r w:rsidRPr="00293B1F">
              <w:rPr>
                <w:rFonts w:eastAsiaTheme="minorEastAsia" w:cs="Times"/>
                <w:iCs/>
                <w:lang w:val="sv-SE" w:eastAsia="en-US" w:bidi="ar-SA"/>
              </w:rPr>
              <w:t>[</w:t>
            </w:r>
            <w:r w:rsidRPr="00293B1F">
              <w:rPr>
                <w:rFonts w:eastAsiaTheme="minorEastAsia" w:cs="Times"/>
                <w:b/>
                <w:i/>
                <w:iCs/>
                <w:lang w:val="sv-SE" w:eastAsia="en-US" w:bidi="ar-SA"/>
              </w:rPr>
              <w:t>Råvaror som underliggande tillgång</w:t>
            </w:r>
            <w:r w:rsidRPr="00293B1F">
              <w:rPr>
                <w:rFonts w:eastAsiaTheme="minorEastAsia" w:cs="Times"/>
                <w:i/>
                <w:iCs/>
                <w:lang w:val="sv-SE" w:eastAsia="en-US" w:bidi="ar-SA"/>
              </w:rPr>
              <w:t xml:space="preserve"> –</w:t>
            </w:r>
            <w:r w:rsidRPr="00293B1F">
              <w:rPr>
                <w:rFonts w:eastAsiaTheme="minorEastAsia" w:cs="Times"/>
                <w:lang w:val="sv-SE" w:eastAsia="en-US" w:bidi="ar-SA"/>
              </w:rPr>
              <w:t xml:space="preserve"> Handel i råvaror är spekulativt och kan vara extremt volatilt eftersom råvarupriser påverkas av faktorer som är oförutsägbara, såsom ändringar i relationerna mellan tillgång och efterfrågan, vädermönster och myndighetsbeslut. Råvarukontrakt kan även handlas direkt mellan marknadsaktörer </w:t>
            </w:r>
            <w:r>
              <w:rPr>
                <w:rFonts w:eastAsiaTheme="minorEastAsia" w:cs="Times"/>
                <w:lang w:val="sv-SE" w:eastAsia="en-US" w:bidi="ar-SA"/>
              </w:rPr>
              <w:t>"</w:t>
            </w:r>
            <w:r w:rsidRPr="00293B1F">
              <w:rPr>
                <w:rFonts w:eastAsiaTheme="minorEastAsia" w:cs="Times"/>
                <w:lang w:val="sv-SE" w:eastAsia="en-US" w:bidi="ar-SA"/>
              </w:rPr>
              <w:t>over-the-counter</w:t>
            </w:r>
            <w:r>
              <w:rPr>
                <w:rFonts w:eastAsiaTheme="minorEastAsia" w:cs="Times"/>
                <w:lang w:val="sv-SE" w:eastAsia="en-US" w:bidi="ar-SA"/>
              </w:rPr>
              <w:t>"</w:t>
            </w:r>
            <w:r w:rsidRPr="00293B1F">
              <w:rPr>
                <w:rFonts w:eastAsiaTheme="minorEastAsia" w:cs="Times"/>
                <w:lang w:val="sv-SE" w:eastAsia="en-US" w:bidi="ar-SA"/>
              </w:rPr>
              <w:t xml:space="preserve"> på handelsplatser som är föremål för minimal eller begränsad reglering. Detta ökar riskerna som sammanhänger med likviditet och prishistorik för de relevanta kontrakten. Instrument som är länkade till terminskontrakt för råvaror kan ge en annan avkastning än Instrument som är länkade till den relevanta fysiska råvaran, eftersom priset på ett terminskontrakt för en råvara allmänt innefattar en premie eller en rabatt jämfört med dagspriset för den underliggande råvaran.]</w:t>
            </w:r>
          </w:p>
        </w:tc>
      </w:tr>
      <w:tr w:rsidTr="003722D9">
        <w:tblPrEx>
          <w:tblW w:w="5000" w:type="pct"/>
          <w:tblLayout w:type="fixed"/>
          <w:tblLook w:val="0000"/>
        </w:tblPrEx>
        <w:tc>
          <w:tcPr>
            <w:tcW w:w="388" w:type="pct"/>
            <w:tcBorders>
              <w:top w:val="single" w:sz="4" w:space="0" w:color="auto"/>
              <w:left w:val="single" w:sz="4" w:space="0" w:color="auto"/>
              <w:right w:val="single" w:sz="4" w:space="0" w:color="auto"/>
            </w:tcBorders>
          </w:tcPr>
          <w:p w:rsidR="00E55762" w:rsidRPr="00293B1F" w:rsidP="003722D9">
            <w:pPr>
              <w:pStyle w:val="BodyText"/>
              <w:keepN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keepNext/>
              <w:rPr>
                <w:rFonts w:cs="Times"/>
                <w:iCs/>
                <w:szCs w:val="20"/>
                <w:lang w:val="sv-SE" w:eastAsia="sv-SE"/>
              </w:rPr>
            </w:pPr>
            <w:r w:rsidRPr="00293B1F">
              <w:rPr>
                <w:rFonts w:eastAsiaTheme="minorEastAsia" w:cs="Times"/>
                <w:iCs/>
                <w:lang w:val="sv-SE" w:eastAsia="en-US" w:bidi="ar-SA"/>
              </w:rPr>
              <w:t>[</w:t>
            </w:r>
            <w:r w:rsidRPr="00293B1F">
              <w:rPr>
                <w:rFonts w:eastAsiaTheme="minorEastAsia" w:cs="Times"/>
                <w:b/>
                <w:i/>
                <w:iCs/>
                <w:lang w:val="sv-SE" w:eastAsia="en-US" w:bidi="ar-SA"/>
              </w:rPr>
              <w:t>Exponering mot en korg av underliggande tillgångar</w:t>
            </w:r>
            <w:r w:rsidRPr="00293B1F">
              <w:rPr>
                <w:rFonts w:eastAsiaTheme="minorEastAsia" w:cs="Times"/>
                <w:i/>
                <w:iCs/>
                <w:lang w:val="sv-SE" w:eastAsia="en-US" w:bidi="ar-SA"/>
              </w:rPr>
              <w:t xml:space="preserve"> </w:t>
            </w:r>
            <w:r w:rsidRPr="00293B1F">
              <w:rPr>
                <w:rFonts w:eastAsiaTheme="minorEastAsia" w:cs="Times"/>
                <w:lang w:val="sv-SE" w:eastAsia="en-US" w:bidi="ar-SA"/>
              </w:rPr>
              <w:t>– Där den underliggande tillgången består av en eller flera korgar av underliggande tillgångar, bär investerarna risken för värdeutvecklingen för var och en av komponenterna som korgen innehåller. Där det är en hög nivå av ömsesidigt beroende mellan de individuella delarna av korgens innehåll, så kan en ändring i utvecklingen hos korgens delar överdriva värdeutvecklingen av Instrumenten. Dessutom kan en liten korg eller en olikartat viktad korg göra korgen sårbar för ändringar i värdet hos en särskild korgkomponenterna.]</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rPr>
                <w:szCs w:val="20"/>
                <w:lang w:val="sv-SE"/>
              </w:rPr>
            </w:pPr>
            <w:r w:rsidRPr="00293B1F">
              <w:rPr>
                <w:rFonts w:eastAsiaTheme="minorEastAsia" w:cs="Times"/>
                <w:iCs/>
                <w:lang w:val="sv-SE" w:eastAsia="en-US" w:bidi="ar-SA"/>
              </w:rPr>
              <w:t>[</w:t>
            </w:r>
            <w:r w:rsidRPr="00293B1F">
              <w:rPr>
                <w:rFonts w:eastAsiaTheme="minorEastAsia" w:cs="Times"/>
                <w:b/>
                <w:i/>
                <w:iCs/>
                <w:lang w:val="sv-SE" w:eastAsia="en-US" w:bidi="ar-SA"/>
              </w:rPr>
              <w:t>Automatisk förtida återinlösen</w:t>
            </w:r>
            <w:r w:rsidRPr="00293B1F">
              <w:rPr>
                <w:rFonts w:eastAsiaTheme="minorEastAsia" w:cs="Times"/>
                <w:i/>
                <w:iCs/>
                <w:lang w:val="sv-SE" w:eastAsia="en-US" w:bidi="ar-SA"/>
              </w:rPr>
              <w:t xml:space="preserve"> </w:t>
            </w:r>
            <w:r w:rsidRPr="00293B1F">
              <w:rPr>
                <w:rFonts w:eastAsiaTheme="minorEastAsia" w:cs="Times"/>
                <w:lang w:val="sv-SE" w:eastAsia="en-US" w:bidi="ar-SA"/>
              </w:rPr>
              <w:t>– Vissa typer av Instrument kan automatiskt återinlösas före deras planerade förfallodatum om vissa villkor är uppfyllda. I en del fall kan detta resultera i en förlust av en del eller hela investerarens investering.]</w:t>
            </w:r>
          </w:p>
        </w:tc>
      </w:tr>
      <w:tr w:rsidTr="003722D9">
        <w:tblPrEx>
          <w:tblW w:w="5000" w:type="pct"/>
          <w:tblLayout w:type="fixed"/>
          <w:tblLook w:val="0000"/>
        </w:tblPrEx>
        <w:trPr>
          <w:cantSplit/>
        </w:trPr>
        <w:tc>
          <w:tcPr>
            <w:tcW w:w="388" w:type="pct"/>
            <w:tcBorders>
              <w:top w:val="single" w:sz="4" w:space="0" w:color="auto"/>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top w:val="single" w:sz="4" w:space="0" w:color="auto"/>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top w:val="single" w:sz="4" w:space="0" w:color="auto"/>
              <w:left w:val="single" w:sz="4" w:space="0" w:color="auto"/>
              <w:right w:val="single" w:sz="4" w:space="0" w:color="auto"/>
            </w:tcBorders>
          </w:tcPr>
          <w:p w:rsidR="00E55762" w:rsidRPr="00293B1F" w:rsidP="003722D9">
            <w:pPr>
              <w:rPr>
                <w:szCs w:val="20"/>
                <w:lang w:eastAsia="sv-SE"/>
              </w:rPr>
            </w:pPr>
            <w:r w:rsidRPr="00293B1F">
              <w:rPr>
                <w:b/>
                <w:szCs w:val="20"/>
                <w:lang w:val="sv-SE"/>
              </w:rPr>
              <w:t>[</w:t>
            </w:r>
            <w:r w:rsidRPr="00293B1F">
              <w:rPr>
                <w:b/>
                <w:i/>
                <w:szCs w:val="20"/>
                <w:lang w:val="sv-SE"/>
              </w:rPr>
              <w:t>Warranter, Turbowarranter, Marknadswarranter, MINI Futures</w:t>
            </w:r>
            <w:r w:rsidRPr="00293B1F">
              <w:rPr>
                <w:i/>
                <w:szCs w:val="20"/>
                <w:lang w:val="sv-SE"/>
              </w:rPr>
              <w:t xml:space="preserve"> – </w:t>
            </w:r>
            <w:r w:rsidRPr="00293B1F">
              <w:rPr>
                <w:szCs w:val="20"/>
                <w:lang w:val="sv-SE"/>
              </w:rPr>
              <w:t xml:space="preserve">Konstruktionen av Instrumenten gör att prisutvecklingen på den underliggande tillgången får genomslag i kursen på sådana Instrument och kan leda till större vinst eller förlust på insatt kapital än om placeringen hade gjorts direkt i den underliggande tillgången. Detta brukar uttryckas så att Instrumenten har en hävstångseffekt jämfört med en investering i underliggande tillgång, dvs. en kursförändring (såväl uppgång som nedgång) för underliggande tillgång medför en procentuellt sett större förändring av värdet på Instrumenten. Detta medför att risken att investera i sådana Instrument är större än att investera i underliggande tillgång. </w:t>
            </w:r>
            <w:r w:rsidRPr="00293B1F">
              <w:rPr>
                <w:szCs w:val="20"/>
              </w:rPr>
              <w:t>Instrumenten kan förfalla utan värde.</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szCs w:val="20"/>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rPr>
            </w:pPr>
          </w:p>
        </w:tc>
        <w:tc>
          <w:tcPr>
            <w:tcW w:w="3661" w:type="pct"/>
            <w:tcBorders>
              <w:left w:val="single" w:sz="4" w:space="0" w:color="auto"/>
              <w:right w:val="single" w:sz="4" w:space="0" w:color="auto"/>
            </w:tcBorders>
          </w:tcPr>
          <w:p w:rsidR="00E55762" w:rsidRPr="00293B1F" w:rsidP="003722D9">
            <w:pPr>
              <w:rPr>
                <w:szCs w:val="20"/>
                <w:lang w:val="sv-SE"/>
              </w:rPr>
            </w:pPr>
            <w:r w:rsidRPr="00293B1F">
              <w:rPr>
                <w:szCs w:val="20"/>
                <w:lang w:val="sv-SE"/>
              </w:rPr>
              <w:t>Warranter och Marknadswarranter kan även innehålla värdeutvecklingsstrukturer som är mer komplicerade och motsvarar de värdeutvecklingsstrukturer som anges vara tillämpliga avseende Certifikat. De risker som är relevanta för Certifikat enligt nedan kan därför även vara tillämpliga på Warranter och Marknadswarranter.]</w:t>
            </w:r>
          </w:p>
        </w:tc>
      </w:tr>
      <w:tr w:rsidTr="003722D9">
        <w:tblPrEx>
          <w:tblW w:w="5000" w:type="pct"/>
          <w:tblLayout w:type="fixed"/>
          <w:tblLook w:val="0000"/>
        </w:tblPrEx>
        <w:tc>
          <w:tcPr>
            <w:tcW w:w="388" w:type="pct"/>
            <w:tcBorders>
              <w:left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right w:val="single" w:sz="4" w:space="0" w:color="auto"/>
            </w:tcBorders>
          </w:tcPr>
          <w:p w:rsidR="00E55762" w:rsidRPr="000971A5" w:rsidP="003722D9">
            <w:pPr>
              <w:rPr>
                <w:i/>
                <w:szCs w:val="20"/>
                <w:lang w:val="sv-SE"/>
              </w:rPr>
            </w:pPr>
            <w:r w:rsidRPr="000971A5">
              <w:rPr>
                <w:szCs w:val="20"/>
                <w:lang w:val="sv-SE"/>
              </w:rPr>
              <w:t>[</w:t>
            </w:r>
            <w:r w:rsidRPr="000971A5">
              <w:rPr>
                <w:b/>
                <w:i/>
                <w:szCs w:val="20"/>
                <w:lang w:val="sv-SE"/>
              </w:rPr>
              <w:t>Risker förenade med certifikat</w:t>
            </w:r>
            <w:r w:rsidRPr="000971A5">
              <w:rPr>
                <w:i/>
                <w:szCs w:val="20"/>
                <w:lang w:val="sv-SE"/>
              </w:rPr>
              <w:t xml:space="preserve"> – </w:t>
            </w:r>
            <w:r w:rsidRPr="000971A5">
              <w:rPr>
                <w:szCs w:val="20"/>
                <w:lang w:val="sv-SE"/>
              </w:rPr>
              <w:t>Om den underliggande tillgången blir värdelös (exempelvis genom att bolaget som ger ut underliggande aktie går i konkurs) blir Certifikatet också värdelöst. Värdet på ett Certifikat kan också påverkas av valutakursförändringar – om den underliggande tillgången är denominerad i en annan valuta än Certifikatets denomineringsvaluta. En investerare i ett Certifikat bör notera att hela det investerade beloppet kan gå förlorat. För det fall Certifikatet är konstruerat för att ge avkastning i en nedåtgående marknad (att sälja eller "short" den Underliggande Tillgången) ger en värdeökning i den underliggande tillgången en värdeminskning i Certifikatet. Under löptiden påverkas Certifikatets värde av förändringar i volatilitet, prisutveckling och utdelningar i den underliggande tillgången samt marknadsränteförändringar. Om Certifikatet innehåller en eller flera barriärnivåer kan detta innebära att det belopp som en investerare har rätt att erhålla på återbetalningsdagen understiger det investerade beloppet eller att rätten till eventuell särskild avkastning bortfaller.]</w:t>
            </w:r>
          </w:p>
        </w:tc>
      </w:tr>
      <w:tr w:rsidTr="003722D9">
        <w:tblPrEx>
          <w:tblW w:w="5000" w:type="pct"/>
          <w:tblLayout w:type="fixed"/>
          <w:tblLook w:val="0000"/>
        </w:tblPrEx>
        <w:tc>
          <w:tcPr>
            <w:tcW w:w="388" w:type="pct"/>
            <w:tcBorders>
              <w:left w:val="single" w:sz="4" w:space="0" w:color="auto"/>
              <w:bottom w:val="single" w:sz="4" w:space="0" w:color="auto"/>
              <w:right w:val="single" w:sz="4" w:space="0" w:color="auto"/>
            </w:tcBorders>
          </w:tcPr>
          <w:p w:rsidR="00E55762" w:rsidRPr="00293B1F" w:rsidP="003722D9">
            <w:pPr>
              <w:pStyle w:val="BodyText"/>
              <w:rPr>
                <w:b/>
                <w:bCs/>
                <w:noProof/>
                <w:szCs w:val="20"/>
                <w:lang w:val="sv-SE"/>
              </w:rPr>
            </w:pPr>
          </w:p>
        </w:tc>
        <w:tc>
          <w:tcPr>
            <w:tcW w:w="951" w:type="pct"/>
            <w:tcBorders>
              <w:left w:val="single" w:sz="4" w:space="0" w:color="auto"/>
              <w:bottom w:val="single" w:sz="4" w:space="0" w:color="auto"/>
              <w:right w:val="single" w:sz="4" w:space="0" w:color="auto"/>
            </w:tcBorders>
          </w:tcPr>
          <w:p w:rsidR="00E55762" w:rsidRPr="00293B1F" w:rsidP="003722D9">
            <w:pPr>
              <w:pStyle w:val="BodyText"/>
              <w:keepNext/>
              <w:jc w:val="left"/>
              <w:rPr>
                <w:b/>
                <w:bCs/>
                <w:szCs w:val="20"/>
                <w:lang w:val="sv-SE"/>
              </w:rPr>
            </w:pPr>
          </w:p>
        </w:tc>
        <w:tc>
          <w:tcPr>
            <w:tcW w:w="3661" w:type="pct"/>
            <w:tcBorders>
              <w:left w:val="single" w:sz="4" w:space="0" w:color="auto"/>
              <w:bottom w:val="single" w:sz="4" w:space="0" w:color="auto"/>
              <w:right w:val="single" w:sz="4" w:space="0" w:color="auto"/>
            </w:tcBorders>
          </w:tcPr>
          <w:p w:rsidR="00E55762" w:rsidRPr="00293B1F" w:rsidP="003722D9">
            <w:pPr>
              <w:keepNext/>
              <w:tabs>
                <w:tab w:val="left" w:pos="3720"/>
              </w:tabs>
              <w:rPr>
                <w:szCs w:val="20"/>
                <w:lang w:val="sv-SE" w:eastAsia="sv-SE"/>
              </w:rPr>
            </w:pPr>
            <w:r w:rsidRPr="00293B1F">
              <w:rPr>
                <w:szCs w:val="20"/>
                <w:lang w:val="sv-SE" w:eastAsia="sv-SE"/>
              </w:rPr>
              <w:t>Övriga risker förenade med Instrument kan ha att göra med bland annat ränteförändringar, valutak</w:t>
            </w:r>
            <w:r>
              <w:rPr>
                <w:szCs w:val="20"/>
                <w:lang w:val="sv-SE" w:eastAsia="sv-SE"/>
              </w:rPr>
              <w:t>ursförändringar, om Emittenten</w:t>
            </w:r>
            <w:r w:rsidRPr="00293B1F">
              <w:rPr>
                <w:szCs w:val="20"/>
                <w:lang w:val="sv-SE" w:eastAsia="sv-SE"/>
              </w:rPr>
              <w:t xml:space="preserve"> har rätt att inlösa Instrumenten i förtid, komplexiteten av de finansiella instrumenten, svängningar hos relevanta index, andra underliggande tillgångar eller den finansiella marknaden och om återbetalning är beroende av </w:t>
            </w:r>
            <w:r>
              <w:rPr>
                <w:szCs w:val="20"/>
                <w:lang w:val="sv-SE" w:eastAsia="sv-SE"/>
              </w:rPr>
              <w:t>andra förhållanden än Emittentens</w:t>
            </w:r>
            <w:r>
              <w:rPr>
                <w:rStyle w:val="FootnoteReference"/>
                <w:lang w:val="sv-SE" w:eastAsia="sv-SE"/>
              </w:rPr>
              <w:footnoteReference w:id="34"/>
            </w:r>
            <w:r w:rsidRPr="00293B1F">
              <w:rPr>
                <w:szCs w:val="20"/>
                <w:lang w:val="sv-SE" w:eastAsia="sv-SE"/>
              </w:rPr>
              <w:t xml:space="preserve"> kreditvärdighet. </w:t>
            </w:r>
          </w:p>
        </w:tc>
      </w:tr>
      <w:tr w:rsidTr="003722D9">
        <w:tblPrEx>
          <w:tblW w:w="5000" w:type="pct"/>
          <w:tblLayout w:type="fixed"/>
          <w:tblLook w:val="0000"/>
        </w:tblPrEx>
        <w:tc>
          <w:tcPr>
            <w:tcW w:w="388"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rPr>
                <w:b/>
                <w:bCs/>
                <w:noProof/>
                <w:lang w:val="sv-SE"/>
              </w:rPr>
            </w:pPr>
          </w:p>
        </w:tc>
        <w:tc>
          <w:tcPr>
            <w:tcW w:w="95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jc w:val="left"/>
              <w:rPr>
                <w:b/>
                <w:bCs/>
                <w:lang w:val="sv-SE"/>
              </w:rPr>
            </w:pP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rPr>
                <w:lang w:val="sv-SE"/>
              </w:rPr>
            </w:pPr>
            <w:r w:rsidRPr="00293B1F">
              <w:rPr>
                <w:iCs/>
                <w:lang w:val="sv-SE"/>
              </w:rPr>
              <w:t>En investering i relativt komplexa värdepapper, såsom Instrument, för med sig en högre risk än att investera i mindre komplexa värdepapper. I en del fall kan investerare förlora värdet av hela sin investering eller delar därav, från fall till fall.</w:t>
            </w:r>
          </w:p>
        </w:tc>
      </w:tr>
    </w:tbl>
    <w:p w:rsidR="00E55762" w:rsidRPr="00293B1F" w:rsidP="00E55762">
      <w:pPr>
        <w:pStyle w:val="BodyText"/>
        <w:rPr>
          <w:lang w:val="sv-SE"/>
        </w:rPr>
      </w:pPr>
    </w:p>
    <w:tbl>
      <w:tblPr>
        <w:tblW w:w="4966" w:type="pct"/>
        <w:tblLayout w:type="fixed"/>
        <w:tblLook w:val="0000"/>
      </w:tblPr>
      <w:tblGrid>
        <w:gridCol w:w="611"/>
        <w:gridCol w:w="1708"/>
        <w:gridCol w:w="6342"/>
      </w:tblGrid>
      <w:tr w:rsidTr="003722D9">
        <w:tblPrEx>
          <w:tblW w:w="4966" w:type="pct"/>
          <w:tblLayout w:type="fixed"/>
          <w:tblLook w:val="0000"/>
        </w:tblPrEx>
        <w:trPr>
          <w:tblHeader/>
        </w:trPr>
        <w:tc>
          <w:tcPr>
            <w:tcW w:w="353"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keepLines/>
              <w:widowControl w:val="0"/>
              <w:jc w:val="center"/>
              <w:rPr>
                <w:b/>
                <w:bCs/>
                <w:lang w:val="sv-SE"/>
              </w:rPr>
            </w:pPr>
          </w:p>
        </w:tc>
        <w:tc>
          <w:tcPr>
            <w:tcW w:w="4647" w:type="pct"/>
            <w:gridSpan w:val="2"/>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keepLines/>
              <w:widowControl w:val="0"/>
              <w:jc w:val="center"/>
              <w:rPr>
                <w:b/>
                <w:bCs/>
              </w:rPr>
            </w:pPr>
            <w:r w:rsidRPr="00293B1F">
              <w:rPr>
                <w:b/>
                <w:bCs/>
              </w:rPr>
              <w:t>Avsnitt E - Erbjudande</w:t>
            </w:r>
          </w:p>
        </w:tc>
      </w:tr>
      <w:tr w:rsidTr="003722D9">
        <w:tblPrEx>
          <w:tblW w:w="4966" w:type="pct"/>
          <w:tblLayout w:type="fixed"/>
          <w:tblLook w:val="0000"/>
        </w:tblPrEx>
        <w:tc>
          <w:tcPr>
            <w:tcW w:w="353"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Lines/>
              <w:widowControl w:val="0"/>
              <w:rPr>
                <w:b/>
                <w:bCs/>
              </w:rPr>
            </w:pPr>
            <w:r w:rsidRPr="00293B1F">
              <w:rPr>
                <w:b/>
                <w:bCs/>
              </w:rPr>
              <w:t>E.2b</w:t>
            </w:r>
          </w:p>
        </w:tc>
        <w:tc>
          <w:tcPr>
            <w:tcW w:w="986"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keepLines/>
              <w:widowControl w:val="0"/>
              <w:jc w:val="left"/>
              <w:rPr>
                <w:b/>
                <w:bCs/>
                <w:lang w:val="sv-SE"/>
              </w:rPr>
            </w:pPr>
            <w:r w:rsidRPr="00293B1F">
              <w:rPr>
                <w:rFonts w:eastAsiaTheme="minorEastAsia"/>
                <w:b/>
                <w:bCs/>
                <w:lang w:val="sv-SE"/>
              </w:rPr>
              <w:t>Motiv till Erbjudandet och användning av intäkterna</w:t>
            </w:r>
            <w:r w:rsidRPr="00293B1F">
              <w:rPr>
                <w:b/>
                <w:b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keepLines/>
              <w:widowControl w:val="0"/>
              <w:rPr>
                <w:lang w:val="sv-SE"/>
              </w:rPr>
            </w:pPr>
            <w:r w:rsidRPr="00293B1F">
              <w:rPr>
                <w:lang w:val="sv-SE"/>
              </w:rPr>
              <w:t>Instrumenten emitteras i syfte att erbjuda Emi</w:t>
            </w:r>
            <w:r>
              <w:rPr>
                <w:lang w:val="sv-SE"/>
              </w:rPr>
              <w:t>ttentens</w:t>
            </w:r>
            <w:r>
              <w:rPr>
                <w:rStyle w:val="FootnoteReference"/>
                <w:b/>
                <w:bCs/>
              </w:rPr>
              <w:footnoteReference w:id="35"/>
            </w:r>
            <w:r w:rsidRPr="00293B1F">
              <w:rPr>
                <w:lang w:val="sv-SE"/>
              </w:rPr>
              <w:t xml:space="preserve"> kunder investeringsprodukter. Om inte annat anges kommer nettointäkterna av varje emission av Instrument att användas för allmänna bank- och företagsrelaterade ändamål i Nordeakoncernen. </w:t>
            </w:r>
          </w:p>
          <w:p w:rsidR="00E55762" w:rsidRPr="00293B1F" w:rsidP="003722D9">
            <w:pPr>
              <w:pStyle w:val="BodyText"/>
              <w:keepNext/>
              <w:keepLines/>
              <w:widowControl w:val="0"/>
              <w:rPr>
                <w:i/>
                <w:iCs/>
                <w:lang w:val="sv-SE"/>
              </w:rPr>
            </w:pPr>
            <w:r w:rsidRPr="00293B1F">
              <w:rPr>
                <w:iCs/>
                <w:lang w:val="sv-SE"/>
              </w:rPr>
              <w:t>[</w:t>
            </w:r>
            <w:r w:rsidRPr="00293B1F">
              <w:rPr>
                <w:i/>
                <w:iCs/>
                <w:lang w:val="sv-SE"/>
              </w:rPr>
              <w:t>Nettointäkterna från emissionen kommer att användas till [•]</w:t>
            </w:r>
            <w:r w:rsidRPr="00293B1F">
              <w:rPr>
                <w:iCs/>
                <w:lang w:val="sv-SE"/>
              </w:rPr>
              <w:t>]</w:t>
            </w:r>
          </w:p>
        </w:tc>
      </w:tr>
      <w:tr w:rsidTr="003722D9">
        <w:tblPrEx>
          <w:tblW w:w="4966" w:type="pct"/>
          <w:tblLayout w:type="fixed"/>
          <w:tblLook w:val="0000"/>
        </w:tblPrEx>
        <w:tc>
          <w:tcPr>
            <w:tcW w:w="353" w:type="pct"/>
            <w:tcBorders>
              <w:top w:val="single" w:sz="4" w:space="0" w:color="auto"/>
              <w:left w:val="single" w:sz="4" w:space="0" w:color="auto"/>
              <w:right w:val="single" w:sz="4" w:space="0" w:color="auto"/>
            </w:tcBorders>
          </w:tcPr>
          <w:p w:rsidR="00E55762" w:rsidRPr="00293B1F" w:rsidP="003722D9">
            <w:pPr>
              <w:pStyle w:val="BodyText"/>
              <w:keepNext/>
              <w:widowControl w:val="0"/>
              <w:spacing w:after="100"/>
              <w:rPr>
                <w:b/>
                <w:bCs/>
              </w:rPr>
            </w:pPr>
            <w:r w:rsidRPr="00293B1F">
              <w:rPr>
                <w:b/>
                <w:bCs/>
              </w:rPr>
              <w:t>E.3</w:t>
            </w:r>
          </w:p>
        </w:tc>
        <w:tc>
          <w:tcPr>
            <w:tcW w:w="986" w:type="pct"/>
            <w:tcBorders>
              <w:top w:val="single" w:sz="4" w:space="0" w:color="auto"/>
              <w:left w:val="single" w:sz="4" w:space="0" w:color="auto"/>
              <w:right w:val="single" w:sz="4" w:space="0" w:color="auto"/>
            </w:tcBorders>
          </w:tcPr>
          <w:p w:rsidR="00E55762" w:rsidRPr="00293B1F" w:rsidP="003722D9">
            <w:pPr>
              <w:pStyle w:val="BodyText"/>
              <w:keepNext/>
              <w:keepLines/>
              <w:widowControl w:val="0"/>
              <w:spacing w:after="100"/>
              <w:jc w:val="left"/>
              <w:rPr>
                <w:b/>
                <w:bCs/>
              </w:rPr>
            </w:pPr>
            <w:r w:rsidRPr="00293B1F">
              <w:rPr>
                <w:rFonts w:eastAsiaTheme="minorEastAsia"/>
                <w:b/>
                <w:bCs/>
                <w:lang w:val="sv-SE"/>
              </w:rPr>
              <w:t>Villkor för Erbjudandet</w:t>
            </w:r>
            <w:r w:rsidRPr="00293B1F">
              <w:rPr>
                <w:b/>
                <w:bCs/>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keepNext/>
              <w:keepLines/>
              <w:widowControl w:val="0"/>
              <w:spacing w:after="100"/>
              <w:rPr>
                <w:lang w:val="sv-SE"/>
              </w:rPr>
            </w:pPr>
            <w:r w:rsidRPr="00293B1F">
              <w:rPr>
                <w:lang w:val="sv-SE"/>
              </w:rPr>
              <w:t xml:space="preserve">Varje investerare som avser att förvärva Instrument från en Auktoriserad Säljare kommer att göra så, och erbjudanden och försäljning av Instrument till en investerare av en Auktoriserad Säljare kommer att göras, i enlighet med de vid varje tidpunkt gällande villkoren mellan en sådan Auktoriserad Säljare och en sådan Investerare, inklusive vad avser pris, fördelning och avräkningsupplägg. </w:t>
            </w:r>
          </w:p>
          <w:p w:rsidR="00E55762" w:rsidRPr="00293B1F" w:rsidP="003722D9">
            <w:pPr>
              <w:pStyle w:val="BodyText"/>
              <w:keepNext/>
              <w:keepLines/>
              <w:widowControl w:val="0"/>
              <w:spacing w:after="100"/>
              <w:rPr>
                <w:lang w:val="sv-SE"/>
              </w:rPr>
            </w:pPr>
            <w:r w:rsidRPr="00293B1F">
              <w:rPr>
                <w:lang w:val="sv-SE"/>
              </w:rPr>
              <w:t>[</w:t>
            </w:r>
            <w:r w:rsidRPr="00293B1F">
              <w:rPr>
                <w:i/>
                <w:lang w:val="sv-SE"/>
              </w:rPr>
              <w:t>Ett Erbjudande till Allmänheten av Instrumenten kommer att ske i relevant(a) Jurisdiktion(er) för Erbjudande till Allmänheten under Erbjudandeperioden</w:t>
            </w:r>
            <w:r w:rsidRPr="00293B1F">
              <w:rPr>
                <w:lang w:val="sv-SE"/>
              </w:rPr>
              <w:t>]</w:t>
            </w:r>
          </w:p>
        </w:tc>
      </w:tr>
      <w:tr w:rsidTr="003722D9">
        <w:tblPrEx>
          <w:tblW w:w="4966" w:type="pct"/>
          <w:tblLayout w:type="fixed"/>
          <w:tblLook w:val="0000"/>
        </w:tblPrEx>
        <w:tc>
          <w:tcPr>
            <w:tcW w:w="353" w:type="pct"/>
            <w:tcBorders>
              <w:left w:val="single" w:sz="4" w:space="0" w:color="auto"/>
              <w:bottom w:val="single" w:sz="4" w:space="0" w:color="auto"/>
              <w:right w:val="single" w:sz="4" w:space="0" w:color="auto"/>
            </w:tcBorders>
          </w:tcPr>
          <w:p w:rsidR="00E55762" w:rsidRPr="00293B1F" w:rsidP="003722D9">
            <w:pPr>
              <w:pStyle w:val="BodyText"/>
              <w:widowControl w:val="0"/>
              <w:spacing w:after="100"/>
              <w:rPr>
                <w:b/>
                <w:bCs/>
                <w:lang w:val="sv-SE"/>
              </w:rPr>
            </w:pPr>
          </w:p>
        </w:tc>
        <w:tc>
          <w:tcPr>
            <w:tcW w:w="986" w:type="pct"/>
            <w:tcBorders>
              <w:left w:val="single" w:sz="4" w:space="0" w:color="auto"/>
              <w:bottom w:val="single" w:sz="4" w:space="0" w:color="auto"/>
              <w:right w:val="single" w:sz="4" w:space="0" w:color="auto"/>
            </w:tcBorders>
          </w:tcPr>
          <w:p w:rsidR="00E55762" w:rsidRPr="00293B1F" w:rsidP="003722D9">
            <w:pPr>
              <w:pStyle w:val="BodyText"/>
              <w:keepNext/>
              <w:keepLines/>
              <w:widowControl w:val="0"/>
              <w:spacing w:after="100"/>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keepNext/>
              <w:keepLines/>
              <w:widowControl w:val="0"/>
              <w:spacing w:after="100"/>
              <w:rPr>
                <w:i/>
                <w:lang w:val="sv-SE"/>
              </w:rPr>
            </w:pPr>
            <w:r w:rsidRPr="00293B1F">
              <w:rPr>
                <w:i/>
                <w:lang w:val="sv-SE"/>
              </w:rPr>
              <w:t xml:space="preserve">Central information om denna emissions form och villkor: </w:t>
            </w:r>
          </w:p>
          <w:p w:rsidR="00E55762" w:rsidRPr="00293B1F" w:rsidP="003722D9">
            <w:pPr>
              <w:pStyle w:val="BodyText"/>
              <w:keepNext/>
              <w:keepLines/>
              <w:widowControl w:val="0"/>
              <w:spacing w:after="100"/>
              <w:jc w:val="left"/>
              <w:rPr>
                <w:i/>
                <w:lang w:val="sv-SE"/>
              </w:rPr>
            </w:pPr>
            <w:r w:rsidRPr="00293B1F">
              <w:rPr>
                <w:i/>
                <w:iCs/>
                <w:lang w:val="sv-SE"/>
              </w:rPr>
              <w:t>[Villkor för erbjudandet:]</w:t>
            </w:r>
            <w:r w:rsidRPr="00293B1F">
              <w:rPr>
                <w:i/>
                <w:iCs/>
                <w:lang w:val="sv-SE"/>
              </w:rPr>
              <w:br/>
              <w:t>[Antal emitterade Instrument:]</w:t>
            </w:r>
            <w:r w:rsidRPr="00293B1F">
              <w:rPr>
                <w:i/>
                <w:iCs/>
                <w:lang w:val="sv-SE"/>
              </w:rPr>
              <w:br/>
              <w:t>[Sista dag för Teckning:]</w:t>
            </w:r>
            <w:r w:rsidRPr="00293B1F">
              <w:rPr>
                <w:i/>
                <w:iCs/>
                <w:lang w:val="sv-SE"/>
              </w:rPr>
              <w:br/>
              <w:t>[Minsta och högsta teckningsbelopp:]</w:t>
            </w:r>
            <w:r w:rsidRPr="00293B1F">
              <w:rPr>
                <w:i/>
                <w:iCs/>
                <w:lang w:val="sv-SE"/>
              </w:rPr>
              <w:br/>
              <w:t>[Pris:]</w:t>
            </w:r>
            <w:r w:rsidRPr="00293B1F">
              <w:rPr>
                <w:i/>
                <w:iCs/>
                <w:lang w:val="sv-SE"/>
              </w:rPr>
              <w:br/>
              <w:t>[Meddelande om genomförd emission:]</w:t>
            </w:r>
            <w:r w:rsidRPr="00293B1F">
              <w:rPr>
                <w:i/>
                <w:iCs/>
                <w:lang w:val="sv-SE"/>
              </w:rPr>
              <w:br/>
              <w:t>[Information om tilldelning:]</w:t>
            </w:r>
            <w:r w:rsidRPr="00293B1F">
              <w:rPr>
                <w:i/>
                <w:iCs/>
                <w:lang w:val="sv-SE"/>
              </w:rPr>
              <w:br/>
              <w:t>[Likviddag:]</w:t>
            </w:r>
            <w:r w:rsidRPr="00293B1F">
              <w:rPr>
                <w:i/>
                <w:iCs/>
                <w:lang w:val="sv-SE"/>
              </w:rPr>
              <w:br/>
              <w:t>[Courtage:]</w:t>
            </w:r>
            <w:r w:rsidRPr="00293B1F">
              <w:rPr>
                <w:i/>
                <w:iCs/>
                <w:lang w:val="sv-SE"/>
              </w:rPr>
              <w:br/>
              <w:t>[Avgifter:]</w:t>
            </w:r>
          </w:p>
        </w:tc>
      </w:tr>
      <w:tr w:rsidTr="003722D9">
        <w:tblPrEx>
          <w:tblW w:w="4966" w:type="pct"/>
          <w:tblLayout w:type="fixed"/>
          <w:tblLook w:val="0000"/>
        </w:tblPrEx>
        <w:tc>
          <w:tcPr>
            <w:tcW w:w="353"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widowControl w:val="0"/>
              <w:spacing w:after="100"/>
              <w:rPr>
                <w:b/>
                <w:bCs/>
              </w:rPr>
            </w:pPr>
            <w:r w:rsidRPr="00293B1F">
              <w:rPr>
                <w:b/>
                <w:bCs/>
              </w:rPr>
              <w:t>E.4</w:t>
            </w:r>
          </w:p>
        </w:tc>
        <w:tc>
          <w:tcPr>
            <w:tcW w:w="986" w:type="pct"/>
            <w:tcBorders>
              <w:top w:val="single" w:sz="4" w:space="0" w:color="auto"/>
              <w:left w:val="single" w:sz="4" w:space="0" w:color="auto"/>
              <w:bottom w:val="single" w:sz="4" w:space="0" w:color="auto"/>
              <w:right w:val="single" w:sz="4" w:space="0" w:color="auto"/>
            </w:tcBorders>
          </w:tcPr>
          <w:p w:rsidR="00E55762" w:rsidRPr="00293B1F" w:rsidP="003722D9">
            <w:pPr>
              <w:pStyle w:val="BodyText"/>
              <w:keepNext/>
              <w:keepLines/>
              <w:widowControl w:val="0"/>
              <w:spacing w:after="100"/>
              <w:jc w:val="left"/>
              <w:rPr>
                <w:b/>
                <w:bCs/>
                <w:lang w:val="sv-SE"/>
              </w:rPr>
            </w:pPr>
            <w:r w:rsidRPr="00293B1F">
              <w:rPr>
                <w:rFonts w:eastAsiaTheme="minorEastAsia"/>
                <w:b/>
                <w:bCs/>
                <w:lang w:val="sv-SE"/>
              </w:rPr>
              <w:t>Relevanta intressen/intressekonflikter för Erbjudandet</w:t>
            </w:r>
            <w:r w:rsidRPr="00293B1F">
              <w:rPr>
                <w:b/>
                <w:bCs/>
                <w:lang w:val="sv-SE"/>
              </w:rPr>
              <w:t>:</w:t>
            </w:r>
          </w:p>
        </w:tc>
        <w:tc>
          <w:tcPr>
            <w:tcW w:w="3661" w:type="pct"/>
            <w:tcBorders>
              <w:top w:val="single" w:sz="4" w:space="0" w:color="auto"/>
              <w:left w:val="single" w:sz="4" w:space="0" w:color="auto"/>
              <w:bottom w:val="single" w:sz="4" w:space="0" w:color="auto"/>
              <w:right w:val="single" w:sz="4" w:space="0" w:color="auto"/>
            </w:tcBorders>
          </w:tcPr>
          <w:p w:rsidR="00E55762" w:rsidRPr="00293B1F" w:rsidP="003722D9">
            <w:pPr>
              <w:spacing w:after="240"/>
              <w:rPr>
                <w:rFonts w:cs="Times"/>
                <w:iCs/>
                <w:szCs w:val="20"/>
                <w:lang w:val="sv-SE"/>
              </w:rPr>
            </w:pPr>
            <w:r w:rsidRPr="00293B1F">
              <w:rPr>
                <w:rFonts w:cs="Times"/>
                <w:iCs/>
                <w:szCs w:val="20"/>
                <w:lang w:val="sv-SE"/>
              </w:rPr>
              <w:t>Auktoriserade Säljare kan betalas genom avgifter i samband med emissionen av Instrument under detta Program.</w:t>
            </w:r>
          </w:p>
          <w:p w:rsidR="00E55762" w:rsidRPr="00293B1F" w:rsidP="003722D9">
            <w:pPr>
              <w:pStyle w:val="BodyText"/>
              <w:keepNext/>
              <w:keepLines/>
              <w:widowControl w:val="0"/>
              <w:spacing w:after="100"/>
              <w:rPr>
                <w:i/>
                <w:iCs/>
                <w:szCs w:val="20"/>
                <w:lang w:val="sv-SE"/>
              </w:rPr>
            </w:pPr>
            <w:r w:rsidRPr="00293B1F">
              <w:rPr>
                <w:rFonts w:eastAsia="SimSun"/>
                <w:i/>
                <w:iCs/>
                <w:szCs w:val="20"/>
                <w:lang w:val="sv-SE"/>
              </w:rPr>
              <w:t>Såvitt Emittenten känner till, har ingen person involverad i emissionen av Instrumenten något intresse som är relevant för emissionen.</w:t>
            </w:r>
            <w:r w:rsidRPr="00293B1F">
              <w:rPr>
                <w:i/>
                <w:iCs/>
                <w:szCs w:val="20"/>
                <w:lang w:val="sv-SE"/>
              </w:rPr>
              <w:t>/[•].</w:t>
            </w:r>
          </w:p>
        </w:tc>
      </w:tr>
      <w:tr w:rsidTr="003722D9">
        <w:tblPrEx>
          <w:tblW w:w="4966" w:type="pct"/>
          <w:tblLayout w:type="fixed"/>
          <w:tblLook w:val="0000"/>
        </w:tblPrEx>
        <w:tc>
          <w:tcPr>
            <w:tcW w:w="353" w:type="pct"/>
            <w:tcBorders>
              <w:top w:val="single" w:sz="4" w:space="0" w:color="auto"/>
              <w:left w:val="single" w:sz="4" w:space="0" w:color="auto"/>
              <w:right w:val="single" w:sz="4" w:space="0" w:color="auto"/>
            </w:tcBorders>
          </w:tcPr>
          <w:p w:rsidR="00E55762" w:rsidRPr="00293B1F" w:rsidP="003722D9">
            <w:pPr>
              <w:pStyle w:val="BodyText"/>
              <w:widowControl w:val="0"/>
              <w:spacing w:after="100"/>
              <w:rPr>
                <w:b/>
                <w:bCs/>
              </w:rPr>
            </w:pPr>
            <w:r w:rsidRPr="00293B1F">
              <w:rPr>
                <w:b/>
                <w:bCs/>
              </w:rPr>
              <w:t>E.7</w:t>
            </w:r>
          </w:p>
        </w:tc>
        <w:tc>
          <w:tcPr>
            <w:tcW w:w="986" w:type="pct"/>
            <w:tcBorders>
              <w:top w:val="single" w:sz="4" w:space="0" w:color="auto"/>
              <w:left w:val="single" w:sz="4" w:space="0" w:color="auto"/>
              <w:right w:val="single" w:sz="4" w:space="0" w:color="auto"/>
            </w:tcBorders>
          </w:tcPr>
          <w:p w:rsidR="00E55762" w:rsidRPr="00293B1F" w:rsidP="003722D9">
            <w:pPr>
              <w:pStyle w:val="BodyText"/>
              <w:keepNext/>
              <w:keepLines/>
              <w:widowControl w:val="0"/>
              <w:spacing w:after="100"/>
              <w:jc w:val="left"/>
              <w:rPr>
                <w:b/>
                <w:bCs/>
              </w:rPr>
            </w:pPr>
            <w:r w:rsidRPr="00293B1F">
              <w:rPr>
                <w:rFonts w:eastAsiaTheme="minorEastAsia"/>
                <w:b/>
                <w:bCs/>
                <w:lang w:val="sv-SE"/>
              </w:rPr>
              <w:t>Beräknade kostnader</w:t>
            </w:r>
            <w:r w:rsidRPr="00293B1F">
              <w:rPr>
                <w:b/>
                <w:bCs/>
              </w:rPr>
              <w:t>:</w:t>
            </w:r>
          </w:p>
        </w:tc>
        <w:tc>
          <w:tcPr>
            <w:tcW w:w="3661" w:type="pct"/>
            <w:tcBorders>
              <w:top w:val="single" w:sz="4" w:space="0" w:color="auto"/>
              <w:left w:val="single" w:sz="4" w:space="0" w:color="auto"/>
              <w:right w:val="single" w:sz="4" w:space="0" w:color="auto"/>
            </w:tcBorders>
          </w:tcPr>
          <w:p w:rsidR="00E55762" w:rsidRPr="00293B1F" w:rsidP="003722D9">
            <w:pPr>
              <w:pStyle w:val="BodyText"/>
              <w:keepNext/>
              <w:keepLines/>
              <w:widowControl w:val="0"/>
              <w:spacing w:after="100"/>
              <w:rPr>
                <w:lang w:val="sv-SE"/>
              </w:rPr>
            </w:pPr>
            <w:r w:rsidRPr="00293B1F">
              <w:rPr>
                <w:rFonts w:eastAsiaTheme="minorEastAsia"/>
                <w:lang w:val="sv-SE"/>
              </w:rPr>
              <w:t>Det förväntas inte att Emittenten</w:t>
            </w:r>
            <w:r w:rsidRPr="0068164A">
              <w:rPr>
                <w:rFonts w:eastAsiaTheme="minorEastAsia"/>
                <w:vertAlign w:val="superscript"/>
                <w:lang w:val="sv-SE"/>
              </w:rPr>
              <w:t>16</w:t>
            </w:r>
            <w:r w:rsidRPr="00293B1F">
              <w:rPr>
                <w:rFonts w:eastAsiaTheme="minorEastAsia"/>
                <w:lang w:val="sv-SE"/>
              </w:rPr>
              <w:t xml:space="preserve"> kommer att debitera några avgifter till investerare i samband med någon emission av Instrument. Andra Auktoriserade Säljare kan emellertid debitera utgifter till investerare. Utgifter som är debiterbara för en Auktoriserad Säljare ska debiteras i enlighet med kontraktsmässiga arrangemang som överenskommits mellan Investeraren och en aktuell Auktoriserad Säljare vid tiden för det relevanta erbjudandet. Sådana utgifter (om några) kommer fastställas från fall till fall.</w:t>
            </w:r>
          </w:p>
        </w:tc>
      </w:tr>
      <w:tr w:rsidTr="003722D9">
        <w:tblPrEx>
          <w:tblW w:w="4966" w:type="pct"/>
          <w:tblLayout w:type="fixed"/>
          <w:tblLook w:val="0000"/>
        </w:tblPrEx>
        <w:tc>
          <w:tcPr>
            <w:tcW w:w="353" w:type="pct"/>
            <w:tcBorders>
              <w:left w:val="single" w:sz="4" w:space="0" w:color="auto"/>
              <w:bottom w:val="single" w:sz="4" w:space="0" w:color="auto"/>
              <w:right w:val="single" w:sz="4" w:space="0" w:color="auto"/>
            </w:tcBorders>
          </w:tcPr>
          <w:p w:rsidR="00E55762" w:rsidRPr="00293B1F" w:rsidP="003722D9">
            <w:pPr>
              <w:pStyle w:val="BodyText"/>
              <w:widowControl w:val="0"/>
              <w:rPr>
                <w:b/>
                <w:bCs/>
                <w:lang w:val="sv-SE"/>
              </w:rPr>
            </w:pPr>
          </w:p>
        </w:tc>
        <w:tc>
          <w:tcPr>
            <w:tcW w:w="986" w:type="pct"/>
            <w:tcBorders>
              <w:left w:val="single" w:sz="4" w:space="0" w:color="auto"/>
              <w:bottom w:val="single" w:sz="4" w:space="0" w:color="auto"/>
              <w:right w:val="single" w:sz="4" w:space="0" w:color="auto"/>
            </w:tcBorders>
          </w:tcPr>
          <w:p w:rsidR="00E55762" w:rsidRPr="00293B1F" w:rsidP="003722D9">
            <w:pPr>
              <w:pStyle w:val="BodyText"/>
              <w:keepNext/>
              <w:keepLines/>
              <w:widowControl w:val="0"/>
              <w:jc w:val="left"/>
              <w:rPr>
                <w:b/>
                <w:bCs/>
                <w:lang w:val="sv-SE"/>
              </w:rPr>
            </w:pPr>
          </w:p>
        </w:tc>
        <w:tc>
          <w:tcPr>
            <w:tcW w:w="3661" w:type="pct"/>
            <w:tcBorders>
              <w:left w:val="single" w:sz="4" w:space="0" w:color="auto"/>
              <w:bottom w:val="single" w:sz="4" w:space="0" w:color="auto"/>
              <w:right w:val="single" w:sz="4" w:space="0" w:color="auto"/>
            </w:tcBorders>
          </w:tcPr>
          <w:p w:rsidR="00E55762" w:rsidRPr="00293B1F" w:rsidP="003722D9">
            <w:pPr>
              <w:pStyle w:val="BodyText"/>
              <w:keepNext/>
              <w:keepLines/>
              <w:widowControl w:val="0"/>
              <w:rPr>
                <w:i/>
                <w:iCs/>
                <w:lang w:val="sv-SE"/>
              </w:rPr>
            </w:pPr>
            <w:r w:rsidRPr="00293B1F">
              <w:rPr>
                <w:rFonts w:eastAsiaTheme="minorEastAsia"/>
                <w:i/>
                <w:iCs/>
                <w:lang w:val="sv-SE"/>
              </w:rPr>
              <w:t>Emittenten [eller någon Auktoriserad Säljare] debiterar inte investerare för några avgifter./Den Auktoriserade Säljaren/na kommer att debitera investerarna för utgifter. De uppskattade utgifterna som debiteras investerarna av de Auktoriserade Säljarna är [ ].</w:t>
            </w:r>
          </w:p>
        </w:tc>
      </w:tr>
    </w:tbl>
    <w:p w:rsidR="00E55762" w:rsidRPr="00293B1F" w:rsidP="00E55762">
      <w:pPr>
        <w:pStyle w:val="BodyText"/>
      </w:pPr>
    </w:p>
    <w:sectPr w:rsidSect="0078686E">
      <w:footnotePr>
        <w:numRestart w:val="eachSect"/>
      </w:footnotePr>
      <w:pgSz w:w="11906" w:h="16838"/>
      <w:pgMar w:top="1440" w:right="1701" w:bottom="1440" w:left="1701" w:header="720" w:footer="284"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906"/>
      <w:gridCol w:w="2907"/>
      <w:gridCol w:w="2907"/>
    </w:tblGrid>
    <w:tr w:rsidTr="00A11DE8">
      <w:tblPrEx>
        <w:tblW w:w="0" w:type="auto"/>
        <w:tblLayout w:type="fixed"/>
        <w:tblLook w:val="0000"/>
      </w:tblPrEx>
      <w:sdt>
        <w:sdtPr>
          <w:alias w:val="CCDocID"/>
          <w:id w:val="80510443"/>
          <w:placeholder>
            <w:docPart w:val="DefaultPlaceholder_22675703"/>
          </w:placeholder>
          <w:showingPlcHdr/>
          <w:dataBinding w:xpath="/ns0:properties[1]/documentManagement[1]/ns1:DLCPolicyLabelValue[1]" w:storeItemID="{54B9A79C-8800-46DD-B296-68B9D6F63DD2}" w:prefixMappings="xmlns:ns0='http://schemas.microsoft.com/office/2006/metadata/properties' xmlns:ns1='3c9c9277-7595-4174-8919-0985580d1461' "/>
          <w:text/>
        </w:sdtPr>
        <w:sdtContent>
          <w:tc>
            <w:tcPr>
              <w:tcW w:w="2906" w:type="dxa"/>
            </w:tcPr>
            <w:p w:rsidR="003F2478" w:rsidP="00A11DE8">
              <w:pPr>
                <w:pStyle w:val="Footer"/>
              </w:pPr>
              <w:r w:rsidRPr="00A23650">
                <w:rPr>
                  <w:rStyle w:val="PlaceholderText"/>
                </w:rPr>
                <w:t>199081-4-30-v8.1</w:t>
              </w:r>
            </w:p>
          </w:tc>
        </w:sdtContent>
      </w:sdt>
      <w:tc>
        <w:tcPr>
          <w:tcW w:w="2907" w:type="dxa"/>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E55762">
            <w:rPr>
              <w:rStyle w:val="PageNumber"/>
              <w:noProof/>
            </w:rPr>
            <w:t>1</w:t>
          </w:r>
          <w:r w:rsidR="008706D1">
            <w:rPr>
              <w:rStyle w:val="PageNumber"/>
            </w:rPr>
            <w:fldChar w:fldCharType="end"/>
          </w:r>
          <w:r>
            <w:rPr>
              <w:rStyle w:val="PageNumber"/>
            </w:rPr>
            <w:t>-</w:t>
          </w:r>
        </w:p>
      </w:tc>
      <w:tc>
        <w:tcPr>
          <w:tcW w:w="2907" w:type="dxa"/>
        </w:tcPr>
        <w:p w:rsidR="003F2478" w:rsidP="00A11DE8">
          <w:pPr>
            <w:pStyle w:val="FooterRight"/>
          </w:pPr>
          <w:r>
            <w:t>70-40630808</w:t>
          </w:r>
        </w:p>
      </w:tc>
    </w:tr>
  </w:tbl>
  <w:p w:rsidR="003F2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906"/>
      <w:gridCol w:w="2907"/>
      <w:gridCol w:w="2907"/>
    </w:tblGrid>
    <w:tr w:rsidTr="00A11DE8">
      <w:tblPrEx>
        <w:tblW w:w="0" w:type="auto"/>
        <w:tblLayout w:type="fixed"/>
        <w:tblLook w:val="0000"/>
      </w:tblPrEx>
      <w:tc>
        <w:tcPr>
          <w:tcW w:w="2906" w:type="dxa"/>
        </w:tcPr>
        <w:p w:rsidR="003F2478" w:rsidP="007860C7">
          <w:pPr>
            <w:pStyle w:val="Footer"/>
            <w:tabs>
              <w:tab w:val="right" w:pos="2690"/>
              <w:tab w:val="clear" w:pos="4153"/>
              <w:tab w:val="clear" w:pos="8306"/>
            </w:tabs>
          </w:pPr>
        </w:p>
      </w:tc>
      <w:tc>
        <w:tcPr>
          <w:tcW w:w="2907" w:type="dxa"/>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7860C7">
            <w:rPr>
              <w:rStyle w:val="PageNumber"/>
              <w:noProof/>
            </w:rPr>
            <w:t>1</w:t>
          </w:r>
          <w:r w:rsidR="008706D1">
            <w:rPr>
              <w:rStyle w:val="PageNumber"/>
            </w:rPr>
            <w:fldChar w:fldCharType="end"/>
          </w:r>
          <w:r>
            <w:rPr>
              <w:rStyle w:val="PageNumber"/>
            </w:rPr>
            <w:t>-</w:t>
          </w:r>
        </w:p>
      </w:tc>
      <w:tc>
        <w:tcPr>
          <w:tcW w:w="2907" w:type="dxa"/>
        </w:tcPr>
        <w:p w:rsidR="003F2478" w:rsidP="00A11DE8">
          <w:pPr>
            <w:pStyle w:val="FooterRight"/>
          </w:pPr>
        </w:p>
      </w:tc>
    </w:tr>
  </w:tbl>
  <w:p w:rsidR="003F2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906"/>
      <w:gridCol w:w="2907"/>
      <w:gridCol w:w="2907"/>
    </w:tblGrid>
    <w:tr w:rsidTr="00A11DE8">
      <w:tblPrEx>
        <w:tblW w:w="0" w:type="auto"/>
        <w:tblLayout w:type="fixed"/>
        <w:tblLook w:val="0000"/>
      </w:tblPrEx>
      <w:sdt>
        <w:sdtPr>
          <w:alias w:val="CCDocID"/>
          <w:id w:val="32049974"/>
          <w:showingPlcHdr/>
          <w:dataBinding w:xpath="/ns0:properties[1]/documentManagement[1]/ns1:DLCPolicyLabelValue[1]" w:storeItemID="{54B9A79C-8800-46DD-B296-68B9D6F63DD2}" w:prefixMappings="xmlns:ns0='http://schemas.microsoft.com/office/2006/metadata/properties' xmlns:ns1='3c9c9277-7595-4174-8919-0985580d1461' "/>
          <w:text/>
        </w:sdtPr>
        <w:sdtContent>
          <w:tc>
            <w:tcPr>
              <w:tcW w:w="2906" w:type="dxa"/>
            </w:tcPr>
            <w:p w:rsidR="003F2478" w:rsidP="00A11DE8">
              <w:pPr>
                <w:pStyle w:val="Footer"/>
              </w:pPr>
              <w:r>
                <w:t>199081-4-30-v8.1</w:t>
              </w:r>
            </w:p>
          </w:tc>
        </w:sdtContent>
      </w:sdt>
      <w:tc>
        <w:tcPr>
          <w:tcW w:w="2907" w:type="dxa"/>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7860C7">
            <w:rPr>
              <w:rStyle w:val="PageNumber"/>
              <w:noProof/>
            </w:rPr>
            <w:t>3</w:t>
          </w:r>
          <w:r w:rsidR="008706D1">
            <w:rPr>
              <w:rStyle w:val="PageNumber"/>
            </w:rPr>
            <w:fldChar w:fldCharType="end"/>
          </w:r>
          <w:r>
            <w:rPr>
              <w:rStyle w:val="PageNumber"/>
            </w:rPr>
            <w:t>-</w:t>
          </w:r>
        </w:p>
      </w:tc>
      <w:tc>
        <w:tcPr>
          <w:tcW w:w="2907" w:type="dxa"/>
        </w:tcPr>
        <w:p w:rsidR="003F2478" w:rsidP="00A11DE8">
          <w:pPr>
            <w:pStyle w:val="FooterRight"/>
          </w:pPr>
        </w:p>
      </w:tc>
    </w:tr>
  </w:tbl>
  <w:p w:rsidR="003F24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906"/>
      <w:gridCol w:w="2907"/>
      <w:gridCol w:w="2907"/>
    </w:tblGrid>
    <w:tr w:rsidTr="00A11DE8">
      <w:tblPrEx>
        <w:tblW w:w="0" w:type="auto"/>
        <w:tblLayout w:type="fixed"/>
        <w:tblLook w:val="0000"/>
      </w:tblPrEx>
      <w:sdt>
        <w:sdtPr>
          <w:alias w:val="CCDocID"/>
          <w:id w:val="32049979"/>
          <w:showingPlcHdr/>
          <w:dataBinding w:xpath="/ns0:properties[1]/documentManagement[1]/ns1:DLCPolicyLabelValue[1]" w:storeItemID="{54B9A79C-8800-46DD-B296-68B9D6F63DD2}" w:prefixMappings="xmlns:ns0='http://schemas.microsoft.com/office/2006/metadata/properties' xmlns:ns1='3c9c9277-7595-4174-8919-0985580d1461' "/>
          <w:text/>
        </w:sdtPr>
        <w:sdtContent>
          <w:tc>
            <w:tcPr>
              <w:tcW w:w="2906" w:type="dxa"/>
            </w:tcPr>
            <w:p w:rsidR="003F2478" w:rsidP="007860C7">
              <w:pPr>
                <w:pStyle w:val="Footer"/>
              </w:pPr>
              <w:r>
                <w:t>199081-4-30-v8.1</w:t>
              </w:r>
            </w:p>
          </w:tc>
        </w:sdtContent>
      </w:sdt>
      <w:tc>
        <w:tcPr>
          <w:tcW w:w="2907" w:type="dxa"/>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7860C7">
            <w:rPr>
              <w:rStyle w:val="PageNumber"/>
              <w:noProof/>
            </w:rPr>
            <w:t>2</w:t>
          </w:r>
          <w:r w:rsidR="008706D1">
            <w:rPr>
              <w:rStyle w:val="PageNumber"/>
            </w:rPr>
            <w:fldChar w:fldCharType="end"/>
          </w:r>
          <w:r>
            <w:rPr>
              <w:rStyle w:val="PageNumber"/>
            </w:rPr>
            <w:t>-</w:t>
          </w:r>
        </w:p>
      </w:tc>
      <w:tc>
        <w:tcPr>
          <w:tcW w:w="2907" w:type="dxa"/>
        </w:tcPr>
        <w:p w:rsidR="003F2478" w:rsidP="00A11DE8">
          <w:pPr>
            <w:pStyle w:val="FooterRight"/>
          </w:pPr>
        </w:p>
      </w:tc>
    </w:tr>
  </w:tbl>
  <w:p w:rsidR="003F24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2900"/>
      <w:gridCol w:w="6"/>
      <w:gridCol w:w="2894"/>
      <w:gridCol w:w="13"/>
      <w:gridCol w:w="2887"/>
      <w:gridCol w:w="20"/>
    </w:tblGrid>
    <w:tr w:rsidTr="00A11DE8">
      <w:tblPrEx>
        <w:tblW w:w="0" w:type="auto"/>
        <w:jc w:val="center"/>
        <w:tblLayout w:type="fixed"/>
        <w:tblLook w:val="0000"/>
      </w:tblPrEx>
      <w:trPr>
        <w:gridAfter w:val="1"/>
        <w:wAfter w:w="20" w:type="dxa"/>
        <w:cantSplit/>
        <w:jc w:val="center"/>
      </w:trPr>
      <w:tc>
        <w:tcPr>
          <w:tcW w:w="2900" w:type="dxa"/>
        </w:tcPr>
        <w:p w:rsidR="003F2478" w:rsidP="007860C7">
          <w:pPr>
            <w:pStyle w:val="Footer"/>
          </w:pPr>
        </w:p>
      </w:tc>
      <w:tc>
        <w:tcPr>
          <w:tcW w:w="2900" w:type="dxa"/>
          <w:gridSpan w:val="2"/>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7860C7">
            <w:rPr>
              <w:rStyle w:val="PageNumber"/>
              <w:noProof/>
            </w:rPr>
            <w:t>17</w:t>
          </w:r>
          <w:r w:rsidR="008706D1">
            <w:rPr>
              <w:rStyle w:val="PageNumber"/>
            </w:rPr>
            <w:fldChar w:fldCharType="end"/>
          </w:r>
          <w:r>
            <w:rPr>
              <w:rStyle w:val="PageNumber"/>
            </w:rPr>
            <w:t>-</w:t>
          </w:r>
        </w:p>
      </w:tc>
      <w:tc>
        <w:tcPr>
          <w:tcW w:w="2900" w:type="dxa"/>
          <w:gridSpan w:val="2"/>
        </w:tcPr>
        <w:p w:rsidR="003F2478" w:rsidP="00A11DE8">
          <w:pPr>
            <w:pStyle w:val="FooterRight"/>
          </w:pPr>
        </w:p>
      </w:tc>
    </w:tr>
    <w:tr w:rsidTr="00A11DE8">
      <w:tblPrEx>
        <w:tblW w:w="0" w:type="auto"/>
        <w:jc w:val="left"/>
        <w:tblLayout w:type="fixed"/>
        <w:tblLook w:val="0000"/>
      </w:tblPrEx>
      <w:trPr>
        <w:jc w:val="left"/>
      </w:trPr>
      <w:tc>
        <w:tcPr>
          <w:tcW w:w="2906" w:type="dxa"/>
          <w:gridSpan w:val="2"/>
        </w:tcPr>
        <w:p w:rsidR="003F2478" w:rsidP="00976B63">
          <w:pPr>
            <w:pStyle w:val="Footer"/>
            <w:rPr>
              <w:sz w:val="2"/>
            </w:rPr>
          </w:pPr>
        </w:p>
      </w:tc>
      <w:tc>
        <w:tcPr>
          <w:tcW w:w="2907" w:type="dxa"/>
          <w:gridSpan w:val="2"/>
        </w:tcPr>
        <w:p w:rsidR="003F2478" w:rsidP="00976B63">
          <w:pPr>
            <w:pStyle w:val="Footer"/>
            <w:rPr>
              <w:sz w:val="2"/>
            </w:rPr>
          </w:pPr>
        </w:p>
      </w:tc>
      <w:tc>
        <w:tcPr>
          <w:tcW w:w="2907" w:type="dxa"/>
          <w:gridSpan w:val="2"/>
        </w:tcPr>
        <w:p w:rsidR="003F2478" w:rsidP="00976B63">
          <w:pPr>
            <w:pStyle w:val="Footer"/>
            <w:rPr>
              <w:sz w:val="2"/>
            </w:rPr>
          </w:pPr>
        </w:p>
      </w:tc>
    </w:tr>
  </w:tbl>
  <w:p w:rsidR="003F2478" w:rsidP="00976B63">
    <w:pPr>
      <w:pStyle w:val="Footer"/>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906"/>
      <w:gridCol w:w="2907"/>
      <w:gridCol w:w="2907"/>
    </w:tblGrid>
    <w:tr w:rsidTr="00A11DE8">
      <w:tblPrEx>
        <w:tblW w:w="0" w:type="auto"/>
        <w:tblLayout w:type="fixed"/>
        <w:tblLook w:val="0000"/>
      </w:tblPrEx>
      <w:sdt>
        <w:sdtPr>
          <w:alias w:val="CCDocID"/>
          <w:id w:val="32049989"/>
          <w:placeholder>
            <w:docPart w:val="DefaultPlaceholder_22675703"/>
          </w:placeholder>
          <w:showingPlcHdr/>
          <w:dataBinding w:xpath="/ns0:properties[1]/documentManagement[1]/ns1:DLCPolicyLabelValue[1]" w:storeItemID="{54B9A79C-8800-46DD-B296-68B9D6F63DD2}" w:prefixMappings="xmlns:ns0='http://schemas.microsoft.com/office/2006/metadata/properties' xmlns:ns1='3c9c9277-7595-4174-8919-0985580d1461' "/>
          <w:text/>
        </w:sdtPr>
        <w:sdtContent>
          <w:tc>
            <w:tcPr>
              <w:tcW w:w="2906" w:type="dxa"/>
            </w:tcPr>
            <w:p w:rsidR="003F2478" w:rsidP="00A11DE8">
              <w:pPr>
                <w:pStyle w:val="Footer"/>
              </w:pPr>
              <w:r w:rsidRPr="00A23650">
                <w:rPr>
                  <w:rStyle w:val="PlaceholderText"/>
                </w:rPr>
                <w:t>199081-4-30-v8.1</w:t>
              </w:r>
            </w:p>
          </w:tc>
        </w:sdtContent>
      </w:sdt>
      <w:tc>
        <w:tcPr>
          <w:tcW w:w="2907" w:type="dxa"/>
        </w:tcPr>
        <w:p w:rsidR="003F2478" w:rsidRPr="00A11DE8" w:rsidP="00A11DE8">
          <w:pPr>
            <w:pStyle w:val="Footer"/>
            <w:jc w:val="center"/>
            <w:rPr>
              <w:rStyle w:val="PageNumber"/>
            </w:rPr>
          </w:pPr>
          <w:r>
            <w:rPr>
              <w:rStyle w:val="PageNumber"/>
            </w:rPr>
            <w:t xml:space="preserve">- </w:t>
          </w:r>
          <w:r w:rsidR="008706D1">
            <w:rPr>
              <w:rStyle w:val="PageNumber"/>
            </w:rPr>
            <w:fldChar w:fldCharType="begin"/>
          </w:r>
          <w:r>
            <w:rPr>
              <w:rStyle w:val="PageNumber"/>
            </w:rPr>
            <w:instrText xml:space="preserve"> PAGE  \* MERGEFORMAT </w:instrText>
          </w:r>
          <w:r w:rsidR="008706D1">
            <w:rPr>
              <w:rStyle w:val="PageNumber"/>
            </w:rPr>
            <w:fldChar w:fldCharType="separate"/>
          </w:r>
          <w:r w:rsidR="00E55762">
            <w:rPr>
              <w:rStyle w:val="PageNumber"/>
              <w:noProof/>
            </w:rPr>
            <w:t>1</w:t>
          </w:r>
          <w:r w:rsidR="008706D1">
            <w:rPr>
              <w:rStyle w:val="PageNumber"/>
            </w:rPr>
            <w:fldChar w:fldCharType="end"/>
          </w:r>
          <w:r>
            <w:rPr>
              <w:rStyle w:val="PageNumber"/>
            </w:rPr>
            <w:t>-</w:t>
          </w:r>
        </w:p>
      </w:tc>
      <w:tc>
        <w:tcPr>
          <w:tcW w:w="2907" w:type="dxa"/>
        </w:tcPr>
        <w:p w:rsidR="003F2478" w:rsidP="00A11DE8">
          <w:pPr>
            <w:pStyle w:val="FooterRight"/>
          </w:pPr>
          <w:r>
            <w:t>70-40630808</w:t>
          </w:r>
        </w:p>
      </w:tc>
    </w:tr>
  </w:tbl>
  <w:p w:rsidR="003F2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478" w:rsidP="00E17744">
      <w:pPr>
        <w:spacing w:after="0"/>
      </w:pPr>
      <w:r>
        <w:separator/>
      </w:r>
    </w:p>
  </w:footnote>
  <w:footnote w:type="continuationSeparator" w:id="1">
    <w:p w:rsidR="003F2478" w:rsidP="00E17744">
      <w:pPr>
        <w:spacing w:after="0"/>
      </w:pPr>
      <w:r>
        <w:continuationSeparator/>
      </w:r>
    </w:p>
  </w:footnote>
  <w:footnote w:id="2">
    <w:p w:rsidR="003F2478" w:rsidP="00314D55">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p w:rsidR="003F2478" w:rsidP="00314D55">
      <w:pPr>
        <w:pStyle w:val="FootnoteText"/>
        <w:ind w:left="0" w:firstLine="0"/>
      </w:pPr>
    </w:p>
  </w:footnote>
  <w:footnote w:id="3">
    <w:p w:rsidR="003F2478" w:rsidP="00314D55">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4">
    <w:p w:rsidR="003F2478">
      <w:pPr>
        <w:pStyle w:val="FootnoteText"/>
      </w:pPr>
      <w:r>
        <w:rPr>
          <w:rStyle w:val="FootnoteReference"/>
        </w:rPr>
        <w:footnoteRef/>
      </w:r>
      <w:r>
        <w:t xml:space="preserve"> </w:t>
      </w:r>
      <w:r>
        <w:tab/>
        <w:t xml:space="preserve">By virtue of the supplement dated </w:t>
      </w:r>
      <w:r w:rsidR="00D32B7D">
        <w:t>5</w:t>
      </w:r>
      <w:r>
        <w:t xml:space="preserve"> January 2017, the group structur</w:t>
      </w:r>
      <w:r w:rsidR="00735241">
        <w:t xml:space="preserve">e of the Nordea Group has been amended </w:t>
      </w:r>
      <w:r>
        <w:t>to reflect that the three main previous subsidiaries of NBAB have merged into it.</w:t>
      </w:r>
    </w:p>
  </w:footnote>
  <w:footnote w:id="5">
    <w:p w:rsidR="003F2478" w:rsidP="00BC0214">
      <w:pPr>
        <w:pStyle w:val="FootnoteText"/>
      </w:pPr>
      <w:r>
        <w:rPr>
          <w:rStyle w:val="FootnoteReference"/>
        </w:rPr>
        <w:footnoteRef/>
      </w:r>
      <w:r>
        <w:t xml:space="preserve"> </w:t>
      </w:r>
      <w:r>
        <w:tab/>
        <w:t>By virtue of the supplement dated 7 November 2016, the total assets, tier 1 capital and assets under management figures as of 31 December 2015 have been removed and the figures as of 30 September 2016 have been included to reflect the figures show in NBAB's unaudited financial statements for the nine months ended 30 September 2016.</w:t>
      </w:r>
    </w:p>
  </w:footnote>
  <w:footnote w:id="6">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7">
    <w:p w:rsidR="003F2478" w:rsidRPr="00853EDA" w:rsidP="00BC0214">
      <w:pPr>
        <w:ind w:left="350" w:hanging="350"/>
      </w:pPr>
      <w:r w:rsidRPr="00281C77">
        <w:rPr>
          <w:vertAlign w:val="superscript"/>
        </w:rPr>
        <w:footnoteRef/>
      </w:r>
      <w:r w:rsidRPr="00281C77">
        <w:rPr>
          <w:vertAlign w:val="superscript"/>
        </w:rPr>
        <w:t xml:space="preserve"> </w:t>
      </w:r>
      <w:r>
        <w:tab/>
      </w:r>
      <w:r w:rsidRPr="00090F93">
        <w:t xml:space="preserve">By virtue of </w:t>
      </w:r>
      <w:r>
        <w:t>the</w:t>
      </w:r>
      <w:r w:rsidRPr="00090F93">
        <w:t xml:space="preserve"> </w:t>
      </w:r>
      <w:r>
        <w:t>s</w:t>
      </w:r>
      <w:r w:rsidRPr="00090F93">
        <w:t>upplement</w:t>
      </w:r>
      <w:r>
        <w:t xml:space="preserve"> dated 7 November 2016</w:t>
      </w:r>
      <w:r w:rsidRPr="00090F93">
        <w:t>, selected key information for NBAB for the nine months ending 30 September 2016 accompanied by comparative data from the same period in the prior financial year has been included and selected key information for NBAB for the six months ending 30 June 2016 accompanied by comparative data from the same period in the prior financial year has been removed.</w:t>
      </w:r>
      <w:r>
        <w:t xml:space="preserve">  By virtue of the supplement dated 12 August 2016</w:t>
      </w:r>
      <w:r w:rsidRPr="00853EDA">
        <w:t>, selected key information for</w:t>
      </w:r>
      <w:r>
        <w:t xml:space="preserve"> each Issuer for</w:t>
      </w:r>
      <w:r w:rsidRPr="00853EDA">
        <w:t xml:space="preserve"> the six months ending 30 June 2016 accompanied by comparative data from the same period in the prior financial year </w:t>
      </w:r>
      <w:r>
        <w:t>w</w:t>
      </w:r>
      <w:r w:rsidRPr="00853EDA">
        <w:t>as included</w:t>
      </w:r>
      <w:r>
        <w:t xml:space="preserve"> and the selected key information for the three months ending 31 March 2016 for NBAB accompanied by comparative data from the same period in the prior financial year was removed</w:t>
      </w:r>
      <w:r w:rsidRPr="00853EDA">
        <w:t xml:space="preserve">. </w:t>
      </w:r>
    </w:p>
  </w:footnote>
  <w:footnote w:id="8">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9">
    <w:p w:rsidR="003F2478" w:rsidP="00BC0214">
      <w:pPr>
        <w:pStyle w:val="FootnoteText"/>
      </w:pPr>
      <w:r>
        <w:rPr>
          <w:rStyle w:val="FootnoteReference"/>
        </w:rPr>
        <w:footnoteRef/>
      </w:r>
      <w:r>
        <w:t xml:space="preserve"> </w:t>
      </w:r>
      <w:r>
        <w:tab/>
      </w:r>
      <w:r w:rsidRPr="00152780">
        <w:t xml:space="preserve">By virtue of </w:t>
      </w:r>
      <w:r>
        <w:t>the supplement dated 7 November 2016</w:t>
      </w:r>
      <w:r w:rsidRPr="00152780">
        <w:t xml:space="preserve">, the date </w:t>
      </w:r>
      <w:r>
        <w:t xml:space="preserve">from </w:t>
      </w:r>
      <w:r w:rsidRPr="00152780">
        <w:t xml:space="preserve">which there has been no significant change in the financial or trading position of NBAB </w:t>
      </w:r>
      <w:r>
        <w:t xml:space="preserve">has been updated to 30 September 2016, being the date of its last published financial statements. By virtue of the supplement dated 12 August 2016, the date to which there has been no significant change in the financial or trading position of </w:t>
      </w:r>
      <w:r w:rsidRPr="00152780">
        <w:t xml:space="preserve">NBF has been updated to 30 June 2016, being the date of </w:t>
      </w:r>
      <w:r>
        <w:t>its</w:t>
      </w:r>
      <w:r w:rsidRPr="00152780">
        <w:t xml:space="preserve"> last published financial statements.</w:t>
      </w:r>
    </w:p>
  </w:footnote>
  <w:footnote w:id="10">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1">
    <w:p w:rsidR="003F2478" w:rsidP="00A848AF">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2">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3">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4">
    <w:p w:rsidR="003F2478">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5">
    <w:p w:rsidR="003F2478" w:rsidP="00A848AF">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6">
    <w:p w:rsidR="003F2478" w:rsidRPr="00A848AF">
      <w:pPr>
        <w:pStyle w:val="FootnoteText"/>
      </w:pPr>
      <w:r>
        <w:rPr>
          <w:rStyle w:val="FootnoteReference"/>
        </w:rPr>
        <w:footnoteRef/>
      </w:r>
      <w:r>
        <w:t xml:space="preserve"> </w:t>
      </w:r>
      <w:r>
        <w:tab/>
      </w:r>
      <w:r w:rsidRPr="00A848AF">
        <w:t xml:space="preserve">By virtue of the supplement dated </w:t>
      </w:r>
      <w:r w:rsidR="00D32B7D">
        <w:t>5</w:t>
      </w:r>
      <w:r w:rsidRPr="00A848AF">
        <w:t xml:space="preserve"> January 2017, the </w:t>
      </w:r>
      <w:r>
        <w:t>risk factor relating to the completion of the cross border subsidiary mergers has been deleted.</w:t>
      </w:r>
      <w:r w:rsidRPr="00A848AF">
        <w:t xml:space="preserve"> </w:t>
      </w:r>
    </w:p>
  </w:footnote>
  <w:footnote w:id="17">
    <w:p w:rsidR="003F2478" w:rsidRPr="000B34C9">
      <w:pPr>
        <w:pStyle w:val="FootnoteText"/>
      </w:pPr>
      <w:r>
        <w:rPr>
          <w:rStyle w:val="FootnoteReference"/>
        </w:rPr>
        <w:footnoteRef/>
      </w:r>
      <w:r>
        <w:t xml:space="preserve"> </w:t>
      </w:r>
      <w:r>
        <w:tab/>
      </w:r>
      <w:r w:rsidRPr="000B34C9">
        <w:t xml:space="preserve">By virtue of the supplement dated </w:t>
      </w:r>
      <w:r w:rsidR="00D32B7D">
        <w:t>5</w:t>
      </w:r>
      <w:r w:rsidRPr="000B34C9">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8">
    <w:p w:rsidR="003F2478">
      <w:pPr>
        <w:pStyle w:val="FootnoteText"/>
      </w:pPr>
      <w:r>
        <w:rPr>
          <w:rStyle w:val="FootnoteReference"/>
        </w:rPr>
        <w:footnoteRef/>
      </w:r>
      <w:r>
        <w:t xml:space="preserve"> </w:t>
      </w:r>
      <w:r>
        <w:tab/>
      </w:r>
      <w:r w:rsidRPr="000B34C9">
        <w:t xml:space="preserve">By virtue of the supplement dated </w:t>
      </w:r>
      <w:r w:rsidR="00D32B7D">
        <w:t>5</w:t>
      </w:r>
      <w:r w:rsidRPr="000B34C9">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9">
    <w:p w:rsidR="003F2478" w:rsidP="000B34C9">
      <w:pPr>
        <w:pStyle w:val="FootnoteText"/>
      </w:pPr>
      <w:r>
        <w:rPr>
          <w:rStyle w:val="FootnoteReference"/>
        </w:rPr>
        <w:footnoteRef/>
      </w:r>
      <w:r>
        <w:t xml:space="preserve"> </w:t>
      </w:r>
      <w:r>
        <w:tab/>
        <w:t xml:space="preserve">By virtue of the supplement dated </w:t>
      </w:r>
      <w:r w:rsidR="00D32B7D">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0">
    <w:p w:rsidR="00E55762" w:rsidRPr="00ED7929" w:rsidP="00E55762">
      <w:pPr>
        <w:pStyle w:val="FootnoteText"/>
        <w:rPr>
          <w:lang w:val="sv-SE"/>
        </w:rPr>
      </w:pPr>
      <w:r>
        <w:rPr>
          <w:rStyle w:val="FootnoteReference"/>
        </w:rPr>
        <w:footnoteRef/>
      </w:r>
      <w:r>
        <w:rPr>
          <w:lang w:val="sv-SE"/>
        </w:rPr>
        <w:t xml:space="preserve"> </w:t>
      </w:r>
      <w:r>
        <w:rPr>
          <w:lang w:val="sv-SE"/>
        </w:rPr>
        <w:tab/>
        <w:t xml:space="preserve">Genom tillägget daterat 5 </w:t>
      </w:r>
      <w:r w:rsidRPr="00ED7929">
        <w:rPr>
          <w:lang w:val="sv-SE"/>
        </w:rPr>
        <w:t>januari 2017 ska alla hänvisningar till “NBF”, “den relevanta Emittenten”, “Emittenterna” och all information kring NBF justeras i Sammanfattningen eftersom NBF ej längre är en emittent under Programmet och NBAB är ensam emittent under Programmet.</w:t>
      </w:r>
    </w:p>
    <w:p w:rsidR="00E55762" w:rsidRPr="00ED7929" w:rsidP="00E55762">
      <w:pPr>
        <w:pStyle w:val="FootnoteText"/>
        <w:ind w:left="0" w:firstLine="0"/>
        <w:rPr>
          <w:lang w:val="sv-SE"/>
        </w:rPr>
      </w:pPr>
    </w:p>
  </w:footnote>
  <w:footnote w:id="21">
    <w:p w:rsidR="00E55762" w:rsidRPr="00787544" w:rsidP="00E55762">
      <w:pPr>
        <w:pStyle w:val="FootnoteText"/>
        <w:rPr>
          <w:lang w:val="sv-SE"/>
        </w:rPr>
      </w:pPr>
      <w:r>
        <w:rPr>
          <w:rStyle w:val="FootnoteReference"/>
        </w:rPr>
        <w:footnoteRef/>
      </w:r>
      <w:r>
        <w:rPr>
          <w:lang w:val="sv-SE"/>
        </w:rPr>
        <w:t xml:space="preserve"> Genom tillägget daterat 5</w:t>
      </w:r>
      <w:r w:rsidRPr="00787544">
        <w:rPr>
          <w:lang w:val="sv-SE"/>
        </w:rPr>
        <w:t xml:space="preserve"> januari 2017 ska alla hänvisningar till “NBF”, “den relevanta Emittenten”, “Emittenterna” och all information kring NBF justeras i Sammanfattningen eftersom NBF ej längre är en emittent under Programmet och NBAB är ensam emittent under Programmet.</w:t>
      </w:r>
    </w:p>
  </w:footnote>
  <w:footnote w:id="22">
    <w:p w:rsidR="00E55762" w:rsidRPr="00B63D39" w:rsidP="00E55762">
      <w:pPr>
        <w:pStyle w:val="FootnoteText"/>
        <w:rPr>
          <w:lang w:val="sv-SE"/>
        </w:rPr>
      </w:pPr>
      <w:r>
        <w:rPr>
          <w:rStyle w:val="FootnoteReference"/>
        </w:rPr>
        <w:footnoteRef/>
      </w:r>
      <w:r w:rsidRPr="00B63D39">
        <w:rPr>
          <w:lang w:val="sv-SE"/>
        </w:rPr>
        <w:t xml:space="preserve"> </w:t>
      </w:r>
      <w:r>
        <w:rPr>
          <w:lang w:val="sv-SE"/>
        </w:rPr>
        <w:t>Genom tillägget daterat 5 januari 2017 har Nordea-koncernens koncernstruktur justerats för att återge att de tre huvudsakliga dotterbolagen fusionerats upp i NBAB.</w:t>
      </w:r>
    </w:p>
  </w:footnote>
  <w:footnote w:id="23">
    <w:p w:rsidR="00E55762" w:rsidRPr="00B63D39" w:rsidP="00E55762">
      <w:pPr>
        <w:pStyle w:val="FootnoteText"/>
        <w:rPr>
          <w:lang w:val="sv-SE"/>
        </w:rPr>
      </w:pPr>
      <w:r>
        <w:rPr>
          <w:rStyle w:val="FootnoteReference"/>
        </w:rPr>
        <w:footnoteRef/>
      </w:r>
      <w:r w:rsidRPr="00B63D39">
        <w:rPr>
          <w:lang w:val="sv-SE"/>
        </w:rPr>
        <w:t xml:space="preserve"> </w:t>
      </w:r>
      <w:r w:rsidRPr="0073402F">
        <w:rPr>
          <w:lang w:val="sv-SE"/>
        </w:rPr>
        <w:t xml:space="preserve">Genom tillägget daterat </w:t>
      </w:r>
      <w:r>
        <w:rPr>
          <w:lang w:val="sv-SE"/>
        </w:rPr>
        <w:t>7 november 2016 har de totala tillgångarna, kärnprimärkapitalet och tillgångar under förvaltning vid 31 december 2015 tagits bort och motsvarande vid 30 september 2016 lagts till för att återge de belopp som återfinns i NBABs oreviderade finansiella rapporter för de nio månader som slutar 30 september 2016.</w:t>
      </w:r>
    </w:p>
  </w:footnote>
  <w:footnote w:id="24">
    <w:p w:rsidR="00E55762" w:rsidRPr="009E383D" w:rsidP="00E55762">
      <w:pPr>
        <w:pStyle w:val="FootnoteText"/>
        <w:rPr>
          <w:lang w:val="sv-SE"/>
        </w:rPr>
      </w:pPr>
      <w:r>
        <w:rPr>
          <w:rStyle w:val="FootnoteReference"/>
        </w:rPr>
        <w:footnoteRef/>
      </w:r>
      <w:r w:rsidRPr="009E383D">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25">
    <w:p w:rsidR="00E55762" w:rsidRPr="009E383D" w:rsidP="00E55762">
      <w:pPr>
        <w:pStyle w:val="FootnoteText"/>
        <w:rPr>
          <w:lang w:val="sv-SE"/>
        </w:rPr>
      </w:pPr>
      <w:r>
        <w:rPr>
          <w:rStyle w:val="FootnoteReference"/>
        </w:rPr>
        <w:footnoteRef/>
      </w:r>
      <w:r w:rsidRPr="009E383D">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26">
    <w:p w:rsidR="00E55762" w:rsidRPr="00337506" w:rsidP="00E55762">
      <w:pPr>
        <w:pStyle w:val="FootnoteText"/>
        <w:rPr>
          <w:lang w:val="sv-SE"/>
        </w:rPr>
      </w:pPr>
      <w:r>
        <w:rPr>
          <w:rStyle w:val="FootnoteReference"/>
        </w:rPr>
        <w:footnoteRef/>
      </w:r>
      <w:r w:rsidRPr="00337506">
        <w:rPr>
          <w:lang w:val="sv-SE"/>
        </w:rPr>
        <w:t xml:space="preserve"> </w:t>
      </w:r>
      <w:r>
        <w:rPr>
          <w:lang w:val="sv-SE"/>
        </w:rPr>
        <w:t>Genom tillägget daterat 7 november 2016 har utvald central finansiell information för NBAB för de nio månader som slutar 30 september 2016 och tillhörande jämförelsedata lagts till och utvald central finansiell information för NBAB för de sex månader som slutar 30 juni 2016 och tillhörande jämförelsedata tagits bort. Genom tillägget daterat 12 augusti 2016 har utvald central finansiell information för båda Emittenter för de sex månader som slutar 30 juni 2016 och tillhörande jämförelsedata lagts till och utvald central finansiell information för de tre månader som slutar 31 mars 2016 för NBAB och tillhörande jämförelsedata tagits bort.</w:t>
      </w:r>
    </w:p>
  </w:footnote>
  <w:footnote w:id="27">
    <w:p w:rsidR="00E55762" w:rsidRPr="00337506" w:rsidP="00E55762">
      <w:pPr>
        <w:pStyle w:val="FootnoteText"/>
        <w:rPr>
          <w:lang w:val="sv-SE"/>
        </w:rPr>
      </w:pPr>
      <w:r>
        <w:rPr>
          <w:rStyle w:val="FootnoteReference"/>
        </w:rPr>
        <w:footnoteRef/>
      </w:r>
      <w:r w:rsidRPr="00337506">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28">
    <w:p w:rsidR="00E55762" w:rsidRPr="00337506" w:rsidP="00E55762">
      <w:pPr>
        <w:pStyle w:val="FootnoteText"/>
        <w:rPr>
          <w:lang w:val="sv-SE"/>
        </w:rPr>
      </w:pPr>
      <w:r>
        <w:rPr>
          <w:rStyle w:val="FootnoteReference"/>
        </w:rPr>
        <w:footnoteRef/>
      </w:r>
      <w:r w:rsidRPr="00337506">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29">
    <w:p w:rsidR="00E55762" w:rsidRPr="00EA4BAF" w:rsidP="00E55762">
      <w:pPr>
        <w:pStyle w:val="FootnoteText"/>
        <w:rPr>
          <w:lang w:val="sv-SE"/>
        </w:rPr>
      </w:pPr>
      <w:r>
        <w:rPr>
          <w:rStyle w:val="FootnoteReference"/>
        </w:rPr>
        <w:footnoteRef/>
      </w:r>
      <w:r w:rsidRPr="00EA4BAF">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0">
    <w:p w:rsidR="00E55762" w:rsidRPr="00EA4BAF" w:rsidP="00E55762">
      <w:pPr>
        <w:pStyle w:val="FootnoteText"/>
        <w:rPr>
          <w:lang w:val="sv-SE"/>
        </w:rPr>
      </w:pPr>
      <w:r>
        <w:rPr>
          <w:rStyle w:val="FootnoteReference"/>
        </w:rPr>
        <w:footnoteRef/>
      </w:r>
      <w:r w:rsidRPr="00EA4BAF">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1">
    <w:p w:rsidR="00E55762" w:rsidRPr="003372FC" w:rsidP="00E55762">
      <w:pPr>
        <w:pStyle w:val="FootnoteText"/>
        <w:rPr>
          <w:lang w:val="sv-SE"/>
        </w:rPr>
      </w:pPr>
      <w:r>
        <w:rPr>
          <w:rStyle w:val="FootnoteReference"/>
        </w:rPr>
        <w:footnoteRef/>
      </w:r>
      <w:r w:rsidRPr="003372FC">
        <w:rPr>
          <w:lang w:val="sv-SE"/>
        </w:rPr>
        <w:t xml:space="preserve"> </w:t>
      </w:r>
      <w:r w:rsidRPr="003372FC">
        <w:rPr>
          <w:lang w:val="sv-SE"/>
        </w:rPr>
        <w:tab/>
        <w:t xml:space="preserve">Genom tillägget daterat </w:t>
      </w:r>
      <w:r>
        <w:rPr>
          <w:lang w:val="sv-SE"/>
        </w:rPr>
        <w:t xml:space="preserve">5 </w:t>
      </w:r>
      <w:r w:rsidRPr="003372FC">
        <w:rPr>
          <w:lang w:val="sv-SE"/>
        </w:rPr>
        <w:t>januari 2017 ska alla hänvisningar till “NBF”, “den relevanta Emittenten”, “Emittenterna” och all information kring NBF justeras i Sammanfattningen eftersom NBF ej längre är en emittent under Programmet och NBAB är ensam emittent under Programmet.</w:t>
      </w:r>
    </w:p>
  </w:footnote>
  <w:footnote w:id="32">
    <w:p w:rsidR="00E55762" w:rsidRPr="00EA4BAF" w:rsidP="00E55762">
      <w:pPr>
        <w:pStyle w:val="FootnoteText"/>
        <w:rPr>
          <w:lang w:val="sv-SE"/>
        </w:rPr>
      </w:pPr>
      <w:r>
        <w:rPr>
          <w:rStyle w:val="FootnoteReference"/>
        </w:rPr>
        <w:footnoteRef/>
      </w:r>
      <w:r w:rsidRPr="00EA4BAF">
        <w:rPr>
          <w:lang w:val="sv-SE"/>
        </w:rPr>
        <w:t xml:space="preserve"> </w:t>
      </w:r>
      <w:r>
        <w:rPr>
          <w:lang w:val="sv-SE"/>
        </w:rPr>
        <w:t>Genom tillägget daterat 5 januari 2017 har riskfaktorn med anknytning till den gränsöverskridande fusionen innefattandes vissa av Nordea-koncernens bolag tagits bort.</w:t>
      </w:r>
    </w:p>
  </w:footnote>
  <w:footnote w:id="33">
    <w:p w:rsidR="00E55762" w:rsidRPr="00EA4BAF" w:rsidP="00E55762">
      <w:pPr>
        <w:pStyle w:val="FootnoteText"/>
        <w:rPr>
          <w:lang w:val="sv-SE"/>
        </w:rPr>
      </w:pPr>
      <w:r>
        <w:rPr>
          <w:rStyle w:val="FootnoteReference"/>
        </w:rPr>
        <w:footnoteRef/>
      </w:r>
      <w:r w:rsidRPr="00EA4BAF">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4">
    <w:p w:rsidR="00E55762" w:rsidRPr="00EA4BAF" w:rsidP="00E55762">
      <w:pPr>
        <w:pStyle w:val="FootnoteText"/>
        <w:rPr>
          <w:lang w:val="sv-SE"/>
        </w:rPr>
      </w:pPr>
      <w:r>
        <w:rPr>
          <w:rStyle w:val="FootnoteReference"/>
        </w:rPr>
        <w:footnoteRef/>
      </w:r>
      <w:r w:rsidRPr="00EA4BAF">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5">
    <w:p w:rsidR="00E55762" w:rsidRPr="00710BF5" w:rsidP="00E55762">
      <w:pPr>
        <w:pStyle w:val="FootnoteText"/>
        <w:rPr>
          <w:lang w:val="sv-SE"/>
        </w:rPr>
      </w:pPr>
      <w:r>
        <w:rPr>
          <w:rStyle w:val="FootnoteReference"/>
        </w:rPr>
        <w:footnoteRef/>
      </w:r>
      <w:r>
        <w:rPr>
          <w:lang w:val="sv-SE"/>
        </w:rPr>
        <w:t xml:space="preserve"> </w:t>
      </w:r>
      <w:r>
        <w:rPr>
          <w:lang w:val="sv-SE"/>
        </w:rPr>
        <w:tab/>
        <w:t>Genom tillägget daterat 5</w:t>
      </w:r>
      <w:r w:rsidRPr="00710BF5">
        <w:rPr>
          <w:lang w:val="sv-SE"/>
        </w:rPr>
        <w:t xml:space="preserve"> januari 2017 ska alla hänvisningar till “NBF”, “den relevanta Emittenten”, “Emittenterna” och all information kring NBF justeras i Sammanfattningen eftersom NBF ej längre är en emittent under Programmet och NBAB är ensam emittent under Programmet.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8" w:rsidP="008D78E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78" w:rsidRPr="008D78E3" w:rsidP="008D7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548"/>
    <w:multiLevelType w:val="multilevel"/>
    <w:tmpl w:val="52D06D80"/>
    <w:styleLink w:val="FormatmallNumreradlista"/>
    <w:lvl w:ilvl="0">
      <w:start w:val="1"/>
      <w:numFmt w:val="none"/>
      <w:lvlText w:val="(a)"/>
      <w:lvlJc w:val="left"/>
      <w:pPr>
        <w:tabs>
          <w:tab w:val="num" w:pos="-794"/>
        </w:tabs>
        <w:ind w:left="340" w:hanging="34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124F95"/>
    <w:multiLevelType w:val="multilevel"/>
    <w:tmpl w:val="4B30CBB2"/>
    <w:name w:val="oc_Num_1st"/>
    <w:lvl w:ilvl="0">
      <w:start w:val="1"/>
      <w:numFmt w:val="none"/>
      <w:pStyle w:val="ocNum1st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1st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1st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1st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1st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1st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1st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1st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1st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2">
    <w:nsid w:val="29793226"/>
    <w:multiLevelType w:val="multilevel"/>
    <w:tmpl w:val="6F5C9854"/>
    <w:name w:val="Bullets"/>
    <w:lvl w:ilvl="0">
      <w:start w:val="1"/>
      <w:numFmt w:val="bullet"/>
      <w:pStyle w:val="BulletL1"/>
      <w:lvlText w:val=""/>
      <w:lvlJc w:val="left"/>
      <w:pPr>
        <w:tabs>
          <w:tab w:val="num" w:pos="680"/>
        </w:tabs>
        <w:ind w:left="680" w:hanging="679"/>
      </w:pPr>
      <w:rPr>
        <w:rFonts w:ascii="Symbol" w:hAnsi="Symbol" w:cs="Times New Roman" w:hint="default"/>
        <w:b w:val="0"/>
        <w:i w:val="0"/>
        <w:caps w:val="0"/>
        <w:strike w:val="0"/>
        <w:dstrike w:val="0"/>
        <w:vanish w:val="0"/>
        <w:color w:val="auto"/>
        <w:sz w:val="20"/>
        <w:szCs w:val="20"/>
        <w:u w:val="none"/>
        <w:vertAlign w:val="baseline"/>
      </w:rPr>
    </w:lvl>
    <w:lvl w:ilvl="1">
      <w:start w:val="1"/>
      <w:numFmt w:val="bullet"/>
      <w:lvlRestart w:val="0"/>
      <w:pStyle w:val="BulletL2"/>
      <w:lvlText w:val=""/>
      <w:lvlJc w:val="left"/>
      <w:pPr>
        <w:tabs>
          <w:tab w:val="num" w:pos="1361"/>
        </w:tabs>
        <w:ind w:left="1361" w:hanging="681"/>
      </w:pPr>
      <w:rPr>
        <w:rFonts w:ascii="Symbol" w:hAnsi="Symbol" w:cs="Symbol" w:hint="default"/>
        <w:b w:val="0"/>
        <w:i w:val="0"/>
        <w:caps w:val="0"/>
        <w:strike w:val="0"/>
        <w:dstrike w:val="0"/>
        <w:vanish w:val="0"/>
        <w:color w:val="auto"/>
        <w:sz w:val="20"/>
        <w:szCs w:val="20"/>
        <w:u w:val="none"/>
        <w:vertAlign w:val="baseline"/>
      </w:rPr>
    </w:lvl>
    <w:lvl w:ilvl="2">
      <w:start w:val="1"/>
      <w:numFmt w:val="bullet"/>
      <w:lvlRestart w:val="0"/>
      <w:pStyle w:val="BulletL3"/>
      <w:lvlText w:val=""/>
      <w:lvlJc w:val="left"/>
      <w:pPr>
        <w:tabs>
          <w:tab w:val="num" w:pos="2041"/>
        </w:tabs>
        <w:ind w:left="2041" w:hanging="680"/>
      </w:pPr>
      <w:rPr>
        <w:rFonts w:ascii="Symbol" w:hAnsi="Symbol" w:cs="Symbol" w:hint="default"/>
        <w:b w:val="0"/>
        <w:i w:val="0"/>
        <w:caps w:val="0"/>
        <w:strike w:val="0"/>
        <w:dstrike w:val="0"/>
        <w:vanish w:val="0"/>
        <w:color w:val="auto"/>
        <w:sz w:val="20"/>
        <w:szCs w:val="20"/>
        <w:u w:val="none"/>
        <w:vertAlign w:val="baseline"/>
      </w:rPr>
    </w:lvl>
    <w:lvl w:ilvl="3">
      <w:start w:val="1"/>
      <w:numFmt w:val="bullet"/>
      <w:lvlRestart w:val="0"/>
      <w:pStyle w:val="BulletL4"/>
      <w:lvlText w:val=""/>
      <w:lvlJc w:val="left"/>
      <w:pPr>
        <w:tabs>
          <w:tab w:val="num" w:pos="2721"/>
        </w:tabs>
        <w:ind w:left="2721" w:hanging="680"/>
      </w:pPr>
      <w:rPr>
        <w:rFonts w:ascii="Symbol" w:hAnsi="Symbol" w:cs="Symbol" w:hint="default"/>
        <w:b w:val="0"/>
        <w:i w:val="0"/>
        <w:caps w:val="0"/>
        <w:strike w:val="0"/>
        <w:dstrike w:val="0"/>
        <w:vanish w:val="0"/>
        <w:color w:val="auto"/>
        <w:sz w:val="20"/>
        <w:szCs w:val="20"/>
        <w:u w:val="none"/>
        <w:vertAlign w:val="baseline"/>
      </w:rPr>
    </w:lvl>
    <w:lvl w:ilvl="4">
      <w:start w:val="1"/>
      <w:numFmt w:val="bullet"/>
      <w:lvlRestart w:val="0"/>
      <w:pStyle w:val="BulletL5"/>
      <w:lvlText w:val=""/>
      <w:lvlJc w:val="left"/>
      <w:pPr>
        <w:tabs>
          <w:tab w:val="num" w:pos="3402"/>
        </w:tabs>
        <w:ind w:left="3402" w:hanging="681"/>
      </w:pPr>
      <w:rPr>
        <w:rFonts w:ascii="Symbol" w:hAnsi="Symbol" w:cs="Symbol" w:hint="default"/>
        <w:b w:val="0"/>
        <w:i w:val="0"/>
        <w:caps w:val="0"/>
        <w:strike w:val="0"/>
        <w:dstrike w:val="0"/>
        <w:vanish w:val="0"/>
        <w:color w:val="auto"/>
        <w:sz w:val="20"/>
        <w:szCs w:val="20"/>
        <w:u w:val="none"/>
        <w:vertAlign w:val="baseline"/>
      </w:rPr>
    </w:lvl>
    <w:lvl w:ilvl="5">
      <w:start w:val="1"/>
      <w:numFmt w:val="bullet"/>
      <w:lvlRestart w:val="0"/>
      <w:pStyle w:val="BulletL6"/>
      <w:lvlText w:val=""/>
      <w:lvlJc w:val="left"/>
      <w:pPr>
        <w:tabs>
          <w:tab w:val="num" w:pos="4082"/>
        </w:tabs>
        <w:ind w:left="4082" w:hanging="680"/>
      </w:pPr>
      <w:rPr>
        <w:rFonts w:ascii="Symbol" w:hAnsi="Symbol" w:cs="Symbol" w:hint="default"/>
        <w:b w:val="0"/>
        <w:i w:val="0"/>
        <w:caps w:val="0"/>
        <w:strike w:val="0"/>
        <w:dstrike w:val="0"/>
        <w:vanish w:val="0"/>
        <w:color w:val="auto"/>
        <w:sz w:val="20"/>
        <w:szCs w:val="20"/>
        <w:u w:val="none"/>
        <w:vertAlign w:val="baseline"/>
      </w:rPr>
    </w:lvl>
    <w:lvl w:ilvl="6">
      <w:start w:val="1"/>
      <w:numFmt w:val="bullet"/>
      <w:lvlRestart w:val="0"/>
      <w:pStyle w:val="BulletL7"/>
      <w:lvlText w:val=""/>
      <w:lvlJc w:val="left"/>
      <w:pPr>
        <w:tabs>
          <w:tab w:val="num" w:pos="4762"/>
        </w:tabs>
        <w:ind w:left="4762" w:hanging="680"/>
      </w:pPr>
      <w:rPr>
        <w:rFonts w:ascii="Symbol" w:hAnsi="Symbol" w:cs="Symbol" w:hint="default"/>
        <w:b w:val="0"/>
        <w:i w:val="0"/>
        <w:caps w:val="0"/>
        <w:strike w:val="0"/>
        <w:dstrike w:val="0"/>
        <w:vanish w:val="0"/>
        <w:color w:val="auto"/>
        <w:sz w:val="20"/>
        <w:szCs w:val="20"/>
        <w:u w:val="none"/>
        <w:vertAlign w:val="baseline"/>
      </w:rPr>
    </w:lvl>
    <w:lvl w:ilvl="7">
      <w:start w:val="1"/>
      <w:numFmt w:val="none"/>
      <w:lvlRestart w:val="0"/>
      <w:pStyle w:val="BulletL8"/>
      <w:suff w:val="nothing"/>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3">
    <w:nsid w:val="41FA612F"/>
    <w:multiLevelType w:val="hybridMultilevel"/>
    <w:tmpl w:val="CABACB62"/>
    <w:name w:val="wBullet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D768CD"/>
    <w:multiLevelType w:val="multilevel"/>
    <w:tmpl w:val="18B64F7C"/>
    <w:name w:val="oc_Num_5th"/>
    <w:lvl w:ilvl="0">
      <w:start w:val="1"/>
      <w:numFmt w:val="decimal"/>
      <w:pStyle w:val="ocNum5th1"/>
      <w:lvlText w:val="%1."/>
      <w:lvlJc w:val="left"/>
      <w:pPr>
        <w:tabs>
          <w:tab w:val="num" w:pos="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none"/>
      <w:pStyle w:val="ocNum5th2"/>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5th3"/>
      <w:lvlText w:val="(%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lowerRoman"/>
      <w:pStyle w:val="ocNum5th4"/>
      <w:lvlText w:val="(%4)"/>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5th5"/>
      <w:lvlText w:val="(%5)"/>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decimal"/>
      <w:pStyle w:val="ocNum5th6"/>
      <w:lvlText w:val="(%6)"/>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5th7"/>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5th8"/>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5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5">
    <w:nsid w:val="52F5562E"/>
    <w:multiLevelType w:val="multilevel"/>
    <w:tmpl w:val="A23096EE"/>
    <w:name w:val="oc_Num_4th"/>
    <w:lvl w:ilvl="0">
      <w:start w:val="1"/>
      <w:numFmt w:val="none"/>
      <w:pStyle w:val="ocNum4th1"/>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none"/>
      <w:pStyle w:val="ocNum4th4"/>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4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569F4E63"/>
    <w:multiLevelType w:val="multilevel"/>
    <w:tmpl w:val="777C6F1C"/>
    <w:name w:val="oc_Num_2nd"/>
    <w:lvl w:ilvl="0">
      <w:start w:val="1"/>
      <w:numFmt w:val="none"/>
      <w:pStyle w:val="ocNum2nd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Roman"/>
      <w:pStyle w:val="ocNum2nd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2nd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decimal"/>
      <w:pStyle w:val="ocNum2nd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2nd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2nd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2nd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2nd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2nd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7">
    <w:nsid w:val="695B12F7"/>
    <w:multiLevelType w:val="multilevel"/>
    <w:tmpl w:val="1EC00D90"/>
    <w:name w:val="oc_Num_3rd"/>
    <w:lvl w:ilvl="0">
      <w:start w:val="1"/>
      <w:numFmt w:val="none"/>
      <w:pStyle w:val="ocNum3rd1"/>
      <w:suff w:val="nothing"/>
      <w:lvlJc w:val="left"/>
      <w:pPr>
        <w:ind w:left="68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3rd2"/>
      <w:lvlText w:val="(%2)"/>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3rd3"/>
      <w:lvlText w:val="(%3)"/>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3rd4"/>
      <w:lvlText w:val="(%4)"/>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3rd5"/>
      <w:lvlText w:val="(%5)"/>
      <w:lvlJc w:val="left"/>
      <w:pPr>
        <w:ind w:left="3402"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3rd6"/>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6">
      <w:start w:val="1"/>
      <w:numFmt w:val="none"/>
      <w:pStyle w:val="ocNum3rd7"/>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7">
      <w:start w:val="1"/>
      <w:numFmt w:val="none"/>
      <w:pStyle w:val="ocNum3rd8"/>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8">
      <w:start w:val="1"/>
      <w:numFmt w:val="none"/>
      <w:pStyle w:val="ocNum3rd9"/>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abstractNum>
  <w:abstractNum w:abstractNumId="8">
    <w:nsid w:val="77B7016D"/>
    <w:multiLevelType w:val="multilevel"/>
    <w:tmpl w:val="022A5562"/>
    <w:name w:val="e4f23bb4-1f58-4ad9-b096-76101ee260c4"/>
    <w:styleLink w:val="BackgroundList"/>
    <w:lvl w:ilvl="0">
      <w:start w:val="1"/>
      <w:numFmt w:val="upperLetter"/>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9">
    <w:nsid w:val="7B506D63"/>
    <w:multiLevelType w:val="multilevel"/>
    <w:tmpl w:val="89EA7948"/>
    <w:styleLink w:val="Formatmall1"/>
    <w:lvl w:ilvl="0">
      <w:start w:val="1"/>
      <w:numFmt w:val="lowerLetter"/>
      <w:lvlText w:val="(%1)"/>
      <w:lvlJc w:val="left"/>
      <w:pPr>
        <w:tabs>
          <w:tab w:val="num" w:pos="567"/>
        </w:tabs>
        <w:ind w:left="1134" w:hanging="567"/>
      </w:pPr>
      <w:rPr>
        <w:rFonts w:ascii="Times New Roman" w:hAnsi="Times New Roman" w:cs="Times New Roman" w:hint="default"/>
        <w:b w:val="0"/>
        <w:i w:val="0"/>
        <w:sz w:val="24"/>
      </w:rPr>
    </w:lvl>
    <w:lvl w:ilvl="1">
      <w:start w:val="1"/>
      <w:numFmt w:val="lowerLetter"/>
      <w:lvlText w:val="(%2)"/>
      <w:lvlJc w:val="left"/>
      <w:pPr>
        <w:tabs>
          <w:tab w:val="num" w:pos="1417"/>
        </w:tabs>
        <w:ind w:left="1417" w:hanging="793"/>
      </w:pPr>
      <w:rPr>
        <w:rFonts w:cs="Times New Roman" w:hint="default"/>
        <w:b w:val="0"/>
        <w:i w:val="0"/>
        <w:sz w:val="20"/>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Jc w:val="left"/>
      <w:pPr>
        <w:ind w:left="0" w:firstLine="0"/>
      </w:pPr>
      <w:rPr>
        <w:rFonts w:cs="Times New Roman" w:hint="default"/>
      </w:rPr>
    </w:lvl>
    <w:lvl w:ilvl="7">
      <w:start w:val="1"/>
      <w:numFmt w:val="none"/>
      <w:suff w:val="nothing"/>
      <w:lvlJc w:val="left"/>
      <w:pPr>
        <w:ind w:left="0" w:firstLine="0"/>
      </w:pPr>
      <w:rPr>
        <w:rFonts w:cs="Times New Roman" w:hint="default"/>
      </w:rPr>
    </w:lvl>
    <w:lvl w:ilvl="8">
      <w:start w:val="1"/>
      <w:numFmt w:val="decimal"/>
      <w:lvlRestart w:val="0"/>
      <w:lvlText w:val="SCHEDULE %9"/>
      <w:lvlJc w:val="left"/>
      <w:pPr>
        <w:tabs>
          <w:tab w:val="num" w:pos="0"/>
        </w:tabs>
        <w:ind w:left="0" w:firstLine="0"/>
      </w:pPr>
      <w:rPr>
        <w:rFonts w:cs="Times New Roman" w:hint="default"/>
        <w:b/>
        <w:i w:val="0"/>
        <w:caps/>
        <w:smallCaps w:val="0"/>
        <w:sz w:val="22"/>
      </w:r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3"/>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footnotePr>
    <w:footnote w:id="0"/>
    <w:footnote w:id="1"/>
  </w:footnotePr>
  <w:compat>
    <w:applyBreakingRules/>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Number 2" w:uiPriority="99"/>
    <w:lsdException w:name="List Number 3" w:uiPriority="99"/>
    <w:lsdException w:name="List Number 5" w:uiPriority="99"/>
    <w:lsdException w:name="Title" w:semiHidden="0" w:uiPriority="10" w:unhideWhenUsed="0" w:qFormat="1"/>
    <w:lsdException w:name="Closing" w:uiPriority="99"/>
    <w:lsdException w:name="Signature" w:uiPriority="99"/>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iPriority="11" w:unhideWhenUsed="0" w:qFormat="1"/>
    <w:lsdException w:name="Date"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Table Theme" w:uiPriority="9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14"/>
    <w:pPr>
      <w:spacing w:line="240" w:lineRule="auto"/>
      <w:jc w:val="both"/>
    </w:pPr>
    <w:rPr>
      <w:rFonts w:ascii="Times New Roman" w:eastAsia="SimSun" w:hAnsi="Times New Roman" w:cs="Times New Roman"/>
      <w:sz w:val="20"/>
      <w:szCs w:val="24"/>
    </w:rPr>
  </w:style>
  <w:style w:type="paragraph" w:styleId="Heading1">
    <w:name w:val="heading 1"/>
    <w:basedOn w:val="Normal"/>
    <w:next w:val="Normal"/>
    <w:link w:val="Heading1Char"/>
    <w:uiPriority w:val="9"/>
    <w:qFormat/>
    <w:rsid w:val="00DD4FDD"/>
    <w:pPr>
      <w:keepNext/>
      <w:pageBreakBefore/>
      <w:jc w:val="center"/>
      <w:outlineLvl w:val="0"/>
    </w:pPr>
    <w:rPr>
      <w:rFonts w:ascii="Times New Roman Bold" w:eastAsia="Times New Roman" w:hAnsi="Times New Roman Bold" w:cs="Arial"/>
      <w:b/>
      <w:bCs/>
      <w:caps/>
      <w:kern w:val="32"/>
      <w:szCs w:val="32"/>
      <w:lang w:eastAsia="en-US" w:bidi="ar-SA"/>
    </w:rPr>
  </w:style>
  <w:style w:type="paragraph" w:styleId="Heading2">
    <w:name w:val="heading 2"/>
    <w:basedOn w:val="Normal"/>
    <w:next w:val="Normal"/>
    <w:link w:val="Heading2Char"/>
    <w:uiPriority w:val="9"/>
    <w:qFormat/>
    <w:rsid w:val="00DD4FDD"/>
    <w:pPr>
      <w:keepNext/>
      <w:pageBreakBefore/>
      <w:jc w:val="center"/>
      <w:outlineLvl w:val="1"/>
    </w:pPr>
    <w:rPr>
      <w:rFonts w:ascii="Times New Roman Bold" w:eastAsia="Times New Roman" w:hAnsi="Times New Roman Bold" w:cs="Arial"/>
      <w:b/>
      <w:bCs/>
      <w:iCs/>
      <w:caps/>
      <w:szCs w:val="28"/>
      <w:lang w:eastAsia="en-US" w:bidi="ar-SA"/>
    </w:rPr>
  </w:style>
  <w:style w:type="paragraph" w:styleId="Heading3">
    <w:name w:val="heading 3"/>
    <w:basedOn w:val="Normal"/>
    <w:next w:val="Normal"/>
    <w:link w:val="Heading3Char"/>
    <w:uiPriority w:val="9"/>
    <w:qFormat/>
    <w:rsid w:val="00DD4FDD"/>
    <w:pPr>
      <w:keepNext/>
      <w:outlineLvl w:val="2"/>
    </w:pPr>
    <w:rPr>
      <w:rFonts w:ascii="Times New Roman Bold" w:eastAsia="Times New Roman" w:hAnsi="Times New Roman Bold" w:cs="Arial"/>
      <w:b/>
      <w:bCs/>
      <w:szCs w:val="26"/>
      <w:lang w:eastAsia="en-US" w:bidi="ar-SA"/>
    </w:rPr>
  </w:style>
  <w:style w:type="paragraph" w:styleId="Heading4">
    <w:name w:val="heading 4"/>
    <w:basedOn w:val="Normal"/>
    <w:next w:val="Normal"/>
    <w:link w:val="Heading4Char"/>
    <w:uiPriority w:val="9"/>
    <w:qFormat/>
    <w:rsid w:val="00DD4FDD"/>
    <w:pPr>
      <w:keepNext/>
      <w:outlineLvl w:val="3"/>
    </w:pPr>
    <w:rPr>
      <w:rFonts w:ascii="Times New Roman Bold" w:eastAsia="Times New Roman" w:hAnsi="Times New Roman Bold"/>
      <w:b/>
      <w:bCs/>
      <w:szCs w:val="28"/>
      <w:lang w:eastAsia="en-US" w:bidi="ar-SA"/>
    </w:rPr>
  </w:style>
  <w:style w:type="paragraph" w:styleId="Heading5">
    <w:name w:val="heading 5"/>
    <w:basedOn w:val="Normal"/>
    <w:next w:val="Normal"/>
    <w:link w:val="Heading5Char"/>
    <w:uiPriority w:val="9"/>
    <w:qFormat/>
    <w:rsid w:val="00DD4FDD"/>
    <w:pPr>
      <w:keepNext/>
      <w:spacing w:after="120"/>
      <w:outlineLvl w:val="4"/>
    </w:pPr>
    <w:rPr>
      <w:rFonts w:ascii="Times New Roman Bold" w:eastAsia="Times New Roman" w:hAnsi="Times New Roman Bold"/>
      <w:b/>
      <w:bCs/>
      <w:i/>
      <w:iCs/>
      <w:szCs w:val="26"/>
      <w:lang w:eastAsia="en-US" w:bidi="ar-SA"/>
    </w:rPr>
  </w:style>
  <w:style w:type="paragraph" w:styleId="Heading6">
    <w:name w:val="heading 6"/>
    <w:basedOn w:val="Normal"/>
    <w:next w:val="Normal"/>
    <w:link w:val="Heading6Char"/>
    <w:uiPriority w:val="9"/>
    <w:qFormat/>
    <w:rsid w:val="00DD4FDD"/>
    <w:pPr>
      <w:keepNext/>
      <w:outlineLvl w:val="5"/>
    </w:pPr>
    <w:rPr>
      <w:rFonts w:eastAsia="Times New Roman"/>
      <w:bCs/>
      <w:i/>
      <w:szCs w:val="22"/>
      <w:lang w:eastAsia="en-US" w:bidi="ar-SA"/>
    </w:rPr>
  </w:style>
  <w:style w:type="paragraph" w:styleId="Heading7">
    <w:name w:val="heading 7"/>
    <w:basedOn w:val="Normal"/>
    <w:next w:val="Normal"/>
    <w:link w:val="Heading7Char"/>
    <w:uiPriority w:val="9"/>
    <w:qFormat/>
    <w:rsid w:val="00DD4FDD"/>
    <w:pPr>
      <w:keepNext/>
      <w:outlineLvl w:val="6"/>
    </w:pPr>
    <w:rPr>
      <w:rFonts w:eastAsia="Times New Roman"/>
      <w:lang w:eastAsia="en-US" w:bidi="ar-SA"/>
    </w:rPr>
  </w:style>
  <w:style w:type="paragraph" w:styleId="Heading8">
    <w:name w:val="heading 8"/>
    <w:basedOn w:val="Normal"/>
    <w:next w:val="Normal"/>
    <w:link w:val="Heading8Char"/>
    <w:uiPriority w:val="9"/>
    <w:qFormat/>
    <w:rsid w:val="00DD4FDD"/>
    <w:pPr>
      <w:spacing w:before="240" w:after="60"/>
      <w:outlineLvl w:val="7"/>
    </w:pPr>
    <w:rPr>
      <w:i/>
      <w:iCs/>
      <w:sz w:val="24"/>
    </w:rPr>
  </w:style>
  <w:style w:type="paragraph" w:styleId="Heading9">
    <w:name w:val="heading 9"/>
    <w:basedOn w:val="Normal"/>
    <w:next w:val="Normal"/>
    <w:link w:val="Heading9Char"/>
    <w:uiPriority w:val="9"/>
    <w:qFormat/>
    <w:rsid w:val="00DD4FD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FDD"/>
    <w:pPr>
      <w:tabs>
        <w:tab w:val="center" w:pos="4153"/>
        <w:tab w:val="right" w:pos="8306"/>
      </w:tabs>
    </w:pPr>
    <w:rPr>
      <w:rFonts w:eastAsia="Times New Roman"/>
      <w:lang w:eastAsia="en-US" w:bidi="ar-SA"/>
    </w:rPr>
  </w:style>
  <w:style w:type="character" w:customStyle="1" w:styleId="HeaderChar">
    <w:name w:val="Header Char"/>
    <w:basedOn w:val="DefaultParagraphFont"/>
    <w:link w:val="Header"/>
    <w:rsid w:val="00E17744"/>
    <w:rPr>
      <w:rFonts w:ascii="Times New Roman" w:eastAsia="Times New Roman" w:hAnsi="Times New Roman" w:cs="Times New Roman"/>
      <w:sz w:val="20"/>
      <w:szCs w:val="24"/>
      <w:lang w:eastAsia="en-US" w:bidi="ar-SA"/>
    </w:rPr>
  </w:style>
  <w:style w:type="paragraph" w:styleId="Footer">
    <w:name w:val="footer"/>
    <w:basedOn w:val="Normal"/>
    <w:link w:val="FooterChar"/>
    <w:rsid w:val="00DD4FDD"/>
    <w:pPr>
      <w:tabs>
        <w:tab w:val="center" w:pos="4153"/>
        <w:tab w:val="right" w:pos="8306"/>
      </w:tabs>
      <w:spacing w:after="0"/>
    </w:pPr>
    <w:rPr>
      <w:rFonts w:eastAsia="Times New Roman"/>
      <w:sz w:val="16"/>
      <w:lang w:eastAsia="en-US" w:bidi="ar-SA"/>
    </w:rPr>
  </w:style>
  <w:style w:type="character" w:customStyle="1" w:styleId="FooterChar">
    <w:name w:val="Footer Char"/>
    <w:basedOn w:val="DefaultParagraphFont"/>
    <w:link w:val="Footer"/>
    <w:rsid w:val="00E17744"/>
    <w:rPr>
      <w:rFonts w:ascii="Times New Roman" w:eastAsia="Times New Roman" w:hAnsi="Times New Roman" w:cs="Times New Roman"/>
      <w:sz w:val="16"/>
      <w:szCs w:val="24"/>
      <w:lang w:eastAsia="en-US" w:bidi="ar-SA"/>
    </w:rPr>
  </w:style>
  <w:style w:type="character" w:customStyle="1" w:styleId="Heading1Char">
    <w:name w:val="Heading 1 Char"/>
    <w:basedOn w:val="DefaultParagraphFont"/>
    <w:link w:val="Heading1"/>
    <w:uiPriority w:val="9"/>
    <w:rsid w:val="00C46302"/>
    <w:rPr>
      <w:rFonts w:ascii="Times New Roman Bold" w:eastAsia="Times New Roman" w:hAnsi="Times New Roman Bold" w:cs="Arial"/>
      <w:b/>
      <w:bCs/>
      <w:caps/>
      <w:kern w:val="32"/>
      <w:sz w:val="20"/>
      <w:szCs w:val="32"/>
      <w:lang w:eastAsia="en-US" w:bidi="ar-SA"/>
    </w:rPr>
  </w:style>
  <w:style w:type="paragraph" w:customStyle="1" w:styleId="BodyCAPS">
    <w:name w:val="Body CAPS"/>
    <w:basedOn w:val="Normal"/>
    <w:rsid w:val="00DD4FDD"/>
    <w:rPr>
      <w:rFonts w:eastAsia="Times New Roman" w:cs="Times"/>
      <w:caps/>
      <w:lang w:eastAsia="en-US" w:bidi="ar-SA"/>
    </w:rPr>
  </w:style>
  <w:style w:type="paragraph" w:customStyle="1" w:styleId="BodyCAPS1">
    <w:name w:val="Body CAPS 1"/>
    <w:basedOn w:val="Normal"/>
    <w:rsid w:val="00DD4FDD"/>
    <w:pPr>
      <w:ind w:left="680"/>
    </w:pPr>
    <w:rPr>
      <w:rFonts w:eastAsia="Times New Roman" w:cs="Times"/>
      <w:caps/>
      <w:lang w:eastAsia="en-US" w:bidi="ar-SA"/>
    </w:rPr>
  </w:style>
  <w:style w:type="paragraph" w:customStyle="1" w:styleId="BodyCAPS2">
    <w:name w:val="Body CAPS 2"/>
    <w:basedOn w:val="Normal"/>
    <w:rsid w:val="00DD4FDD"/>
    <w:pPr>
      <w:ind w:left="1361"/>
    </w:pPr>
    <w:rPr>
      <w:rFonts w:eastAsia="Times New Roman" w:cs="Times"/>
      <w:caps/>
      <w:lang w:eastAsia="en-US" w:bidi="ar-SA"/>
    </w:rPr>
  </w:style>
  <w:style w:type="paragraph" w:customStyle="1" w:styleId="BodyCAPS3">
    <w:name w:val="Body CAPS 3"/>
    <w:basedOn w:val="Normal"/>
    <w:rsid w:val="00DD4FDD"/>
    <w:pPr>
      <w:ind w:left="2041"/>
    </w:pPr>
    <w:rPr>
      <w:rFonts w:eastAsia="Times New Roman" w:cs="Times"/>
      <w:caps/>
      <w:lang w:eastAsia="en-US" w:bidi="ar-SA"/>
    </w:rPr>
  </w:style>
  <w:style w:type="paragraph" w:customStyle="1" w:styleId="BodyCAPS4">
    <w:name w:val="Body CAPS 4"/>
    <w:basedOn w:val="Normal"/>
    <w:rsid w:val="00DD4FDD"/>
    <w:pPr>
      <w:ind w:left="2722"/>
    </w:pPr>
    <w:rPr>
      <w:rFonts w:eastAsia="Times New Roman" w:cs="Times"/>
      <w:caps/>
      <w:lang w:eastAsia="en-US" w:bidi="ar-SA"/>
    </w:rPr>
  </w:style>
  <w:style w:type="paragraph" w:customStyle="1" w:styleId="BodyCAPS5">
    <w:name w:val="Body CAPS 5"/>
    <w:basedOn w:val="Normal"/>
    <w:rsid w:val="00DD4FDD"/>
    <w:pPr>
      <w:ind w:left="3402"/>
    </w:pPr>
    <w:rPr>
      <w:rFonts w:eastAsia="Times New Roman" w:cs="Times"/>
      <w:caps/>
      <w:lang w:eastAsia="en-US" w:bidi="ar-SA"/>
    </w:rPr>
  </w:style>
  <w:style w:type="paragraph" w:styleId="BodyText">
    <w:name w:val="Body Text"/>
    <w:basedOn w:val="Normal"/>
    <w:link w:val="BodyTextChar"/>
    <w:qFormat/>
    <w:rsid w:val="00DD4FDD"/>
    <w:rPr>
      <w:rFonts w:eastAsia="Times New Roman" w:cs="Times"/>
      <w:lang w:eastAsia="en-US" w:bidi="ar-SA"/>
    </w:rPr>
  </w:style>
  <w:style w:type="character" w:customStyle="1" w:styleId="BodyTextChar">
    <w:name w:val="Body Text Char"/>
    <w:basedOn w:val="DefaultParagraphFont"/>
    <w:link w:val="BodyText"/>
    <w:rsid w:val="006D4FD2"/>
    <w:rPr>
      <w:rFonts w:ascii="Times New Roman" w:eastAsia="Times New Roman" w:hAnsi="Times New Roman" w:cs="Times"/>
      <w:sz w:val="20"/>
      <w:szCs w:val="24"/>
      <w:lang w:eastAsia="en-US" w:bidi="ar-SA"/>
    </w:rPr>
  </w:style>
  <w:style w:type="paragraph" w:customStyle="1" w:styleId="BodyText1">
    <w:name w:val="Body Text 1"/>
    <w:basedOn w:val="Normal"/>
    <w:rsid w:val="00DD4FDD"/>
    <w:pPr>
      <w:ind w:left="680"/>
    </w:pPr>
    <w:rPr>
      <w:rFonts w:eastAsia="Times New Roman" w:cs="Times"/>
      <w:lang w:eastAsia="en-US" w:bidi="ar-SA"/>
    </w:rPr>
  </w:style>
  <w:style w:type="paragraph" w:styleId="BodyText2">
    <w:name w:val="Body Text 2"/>
    <w:basedOn w:val="Normal"/>
    <w:link w:val="BodyText2Char"/>
    <w:uiPriority w:val="99"/>
    <w:rsid w:val="00DD4FDD"/>
    <w:pPr>
      <w:ind w:left="1361"/>
    </w:pPr>
    <w:rPr>
      <w:rFonts w:eastAsia="Times New Roman" w:cs="Times"/>
      <w:lang w:eastAsia="en-US" w:bidi="ar-SA"/>
    </w:rPr>
  </w:style>
  <w:style w:type="character" w:customStyle="1" w:styleId="BodyText2Char">
    <w:name w:val="Body Text 2 Char"/>
    <w:basedOn w:val="DefaultParagraphFont"/>
    <w:link w:val="BodyText2"/>
    <w:uiPriority w:val="99"/>
    <w:rsid w:val="006D4FD2"/>
    <w:rPr>
      <w:rFonts w:ascii="Times New Roman" w:eastAsia="Times New Roman" w:hAnsi="Times New Roman" w:cs="Times"/>
      <w:sz w:val="20"/>
      <w:szCs w:val="24"/>
      <w:lang w:eastAsia="en-US" w:bidi="ar-SA"/>
    </w:rPr>
  </w:style>
  <w:style w:type="paragraph" w:styleId="BodyText3">
    <w:name w:val="Body Text 3"/>
    <w:basedOn w:val="Normal"/>
    <w:link w:val="BodyText3Char"/>
    <w:uiPriority w:val="99"/>
    <w:rsid w:val="00DD4FDD"/>
    <w:pPr>
      <w:ind w:left="2041"/>
    </w:pPr>
    <w:rPr>
      <w:rFonts w:eastAsia="Times New Roman" w:cs="Times"/>
      <w:szCs w:val="16"/>
      <w:lang w:eastAsia="en-US" w:bidi="ar-SA"/>
    </w:rPr>
  </w:style>
  <w:style w:type="character" w:customStyle="1" w:styleId="BodyText3Char">
    <w:name w:val="Body Text 3 Char"/>
    <w:basedOn w:val="DefaultParagraphFont"/>
    <w:link w:val="BodyText3"/>
    <w:uiPriority w:val="99"/>
    <w:rsid w:val="006D4FD2"/>
    <w:rPr>
      <w:rFonts w:ascii="Times New Roman" w:eastAsia="Times New Roman" w:hAnsi="Times New Roman" w:cs="Times"/>
      <w:sz w:val="20"/>
      <w:szCs w:val="16"/>
      <w:lang w:eastAsia="en-US" w:bidi="ar-SA"/>
    </w:rPr>
  </w:style>
  <w:style w:type="paragraph" w:customStyle="1" w:styleId="BodyText4">
    <w:name w:val="Body Text 4"/>
    <w:basedOn w:val="Normal"/>
    <w:rsid w:val="00DD4FDD"/>
    <w:pPr>
      <w:ind w:left="2722"/>
    </w:pPr>
    <w:rPr>
      <w:rFonts w:eastAsia="Times New Roman" w:cs="Times"/>
      <w:lang w:eastAsia="en-US" w:bidi="ar-SA"/>
    </w:rPr>
  </w:style>
  <w:style w:type="paragraph" w:customStyle="1" w:styleId="BodyText5">
    <w:name w:val="Body Text 5"/>
    <w:basedOn w:val="Normal"/>
    <w:rsid w:val="00DD4FDD"/>
    <w:pPr>
      <w:ind w:left="3402"/>
    </w:pPr>
    <w:rPr>
      <w:rFonts w:eastAsia="Times New Roman" w:cs="Times"/>
      <w:lang w:eastAsia="en-US" w:bidi="ar-SA"/>
    </w:rPr>
  </w:style>
  <w:style w:type="paragraph" w:customStyle="1" w:styleId="CoverPage1">
    <w:name w:val="Cover Page 1"/>
    <w:basedOn w:val="Normal"/>
    <w:next w:val="BodyText"/>
    <w:rsid w:val="00DD4FDD"/>
    <w:pPr>
      <w:keepNext/>
      <w:jc w:val="center"/>
    </w:pPr>
    <w:rPr>
      <w:rFonts w:ascii="Times New Roman Bold" w:eastAsia="Times New Roman" w:hAnsi="Times New Roman Bold" w:cs="Times"/>
      <w:b/>
      <w:caps/>
      <w:sz w:val="32"/>
      <w:lang w:eastAsia="en-US" w:bidi="ar-SA"/>
    </w:rPr>
  </w:style>
  <w:style w:type="paragraph" w:customStyle="1" w:styleId="CoverPage2">
    <w:name w:val="Cover Page 2"/>
    <w:basedOn w:val="Normal"/>
    <w:next w:val="BodyText"/>
    <w:rsid w:val="00DD4FDD"/>
    <w:pPr>
      <w:keepNext/>
      <w:jc w:val="center"/>
    </w:pPr>
    <w:rPr>
      <w:rFonts w:eastAsia="Times New Roman" w:cs="Times"/>
      <w:i/>
      <w:sz w:val="18"/>
      <w:lang w:eastAsia="en-US" w:bidi="ar-SA"/>
    </w:rPr>
  </w:style>
  <w:style w:type="paragraph" w:customStyle="1" w:styleId="CoverPage3">
    <w:name w:val="Cover Page 3"/>
    <w:basedOn w:val="Normal"/>
    <w:next w:val="BodyText"/>
    <w:rsid w:val="00DD4FDD"/>
    <w:pPr>
      <w:keepNext/>
      <w:jc w:val="center"/>
    </w:pPr>
    <w:rPr>
      <w:rFonts w:eastAsia="Times New Roman" w:cs="Times"/>
      <w:sz w:val="18"/>
      <w:lang w:eastAsia="en-US" w:bidi="ar-SA"/>
    </w:rPr>
  </w:style>
  <w:style w:type="paragraph" w:customStyle="1" w:styleId="CoverPage4">
    <w:name w:val="Cover Page 4"/>
    <w:basedOn w:val="Normal"/>
    <w:next w:val="BodyText"/>
    <w:rsid w:val="00DD4FDD"/>
    <w:pPr>
      <w:keepNext/>
      <w:jc w:val="center"/>
    </w:pPr>
    <w:rPr>
      <w:rFonts w:ascii="Times New Roman Bold" w:eastAsia="Times New Roman" w:hAnsi="Times New Roman Bold" w:cs="Times"/>
      <w:b/>
      <w:sz w:val="24"/>
      <w:lang w:eastAsia="en-US" w:bidi="ar-SA"/>
    </w:rPr>
  </w:style>
  <w:style w:type="paragraph" w:customStyle="1" w:styleId="CoverPage5">
    <w:name w:val="Cover Page 5"/>
    <w:basedOn w:val="Normal"/>
    <w:next w:val="BodyText"/>
    <w:rsid w:val="00DD4FDD"/>
    <w:pPr>
      <w:keepNext/>
      <w:jc w:val="center"/>
    </w:pPr>
    <w:rPr>
      <w:rFonts w:eastAsia="Times New Roman" w:cs="Times"/>
      <w:sz w:val="16"/>
      <w:lang w:eastAsia="en-US" w:bidi="ar-SA"/>
    </w:rPr>
  </w:style>
  <w:style w:type="paragraph" w:customStyle="1" w:styleId="CoverPage6">
    <w:name w:val="Cover Page 6"/>
    <w:basedOn w:val="Normal"/>
    <w:next w:val="BodyText"/>
    <w:rsid w:val="00DD4FDD"/>
    <w:pPr>
      <w:keepNext/>
      <w:jc w:val="center"/>
    </w:pPr>
    <w:rPr>
      <w:rFonts w:eastAsia="Times New Roman" w:cs="Times"/>
      <w:lang w:eastAsia="en-US" w:bidi="ar-SA"/>
    </w:rPr>
  </w:style>
  <w:style w:type="character" w:customStyle="1" w:styleId="Heading2Char">
    <w:name w:val="Heading 2 Char"/>
    <w:basedOn w:val="DefaultParagraphFont"/>
    <w:link w:val="Heading2"/>
    <w:uiPriority w:val="9"/>
    <w:rsid w:val="00DD4FDD"/>
    <w:rPr>
      <w:rFonts w:ascii="Times New Roman Bold" w:eastAsia="Times New Roman" w:hAnsi="Times New Roman Bold" w:cs="Arial"/>
      <w:b/>
      <w:bCs/>
      <w:iCs/>
      <w:caps/>
      <w:sz w:val="20"/>
      <w:szCs w:val="28"/>
      <w:lang w:eastAsia="en-US" w:bidi="ar-SA"/>
    </w:rPr>
  </w:style>
  <w:style w:type="character" w:customStyle="1" w:styleId="Heading3Char">
    <w:name w:val="Heading 3 Char"/>
    <w:basedOn w:val="DefaultParagraphFont"/>
    <w:link w:val="Heading3"/>
    <w:uiPriority w:val="9"/>
    <w:rsid w:val="00DD4FDD"/>
    <w:rPr>
      <w:rFonts w:ascii="Times New Roman Bold" w:eastAsia="Times New Roman" w:hAnsi="Times New Roman Bold" w:cs="Arial"/>
      <w:b/>
      <w:bCs/>
      <w:sz w:val="20"/>
      <w:szCs w:val="26"/>
      <w:lang w:eastAsia="en-US" w:bidi="ar-SA"/>
    </w:rPr>
  </w:style>
  <w:style w:type="character" w:customStyle="1" w:styleId="Heading4Char">
    <w:name w:val="Heading 4 Char"/>
    <w:basedOn w:val="DefaultParagraphFont"/>
    <w:link w:val="Heading4"/>
    <w:uiPriority w:val="9"/>
    <w:rsid w:val="00DD4FDD"/>
    <w:rPr>
      <w:rFonts w:ascii="Times New Roman Bold" w:eastAsia="Times New Roman" w:hAnsi="Times New Roman Bold" w:cs="Times New Roman"/>
      <w:b/>
      <w:bCs/>
      <w:sz w:val="20"/>
      <w:szCs w:val="28"/>
      <w:lang w:eastAsia="en-US" w:bidi="ar-SA"/>
    </w:rPr>
  </w:style>
  <w:style w:type="character" w:customStyle="1" w:styleId="Heading5Char">
    <w:name w:val="Heading 5 Char"/>
    <w:basedOn w:val="DefaultParagraphFont"/>
    <w:link w:val="Heading5"/>
    <w:uiPriority w:val="9"/>
    <w:rsid w:val="00DD4FDD"/>
    <w:rPr>
      <w:rFonts w:ascii="Times New Roman Bold" w:eastAsia="Times New Roman" w:hAnsi="Times New Roman Bold" w:cs="Times New Roman"/>
      <w:b/>
      <w:bCs/>
      <w:i/>
      <w:iCs/>
      <w:sz w:val="20"/>
      <w:szCs w:val="26"/>
      <w:lang w:eastAsia="en-US" w:bidi="ar-SA"/>
    </w:rPr>
  </w:style>
  <w:style w:type="character" w:customStyle="1" w:styleId="Heading6Char">
    <w:name w:val="Heading 6 Char"/>
    <w:basedOn w:val="DefaultParagraphFont"/>
    <w:link w:val="Heading6"/>
    <w:uiPriority w:val="9"/>
    <w:rsid w:val="00DD4FDD"/>
    <w:rPr>
      <w:rFonts w:ascii="Times New Roman" w:eastAsia="Times New Roman" w:hAnsi="Times New Roman" w:cs="Times New Roman"/>
      <w:bCs/>
      <w:i/>
      <w:sz w:val="20"/>
      <w:lang w:eastAsia="en-US" w:bidi="ar-SA"/>
    </w:rPr>
  </w:style>
  <w:style w:type="character" w:customStyle="1" w:styleId="Heading7Char">
    <w:name w:val="Heading 7 Char"/>
    <w:basedOn w:val="DefaultParagraphFont"/>
    <w:link w:val="Heading7"/>
    <w:uiPriority w:val="9"/>
    <w:rsid w:val="00DD4FDD"/>
    <w:rPr>
      <w:rFonts w:ascii="Times New Roman" w:eastAsia="Times New Roman" w:hAnsi="Times New Roman" w:cs="Times New Roman"/>
      <w:sz w:val="20"/>
      <w:szCs w:val="24"/>
      <w:lang w:eastAsia="en-US" w:bidi="ar-SA"/>
    </w:rPr>
  </w:style>
  <w:style w:type="character" w:customStyle="1" w:styleId="Heading8Char">
    <w:name w:val="Heading 8 Char"/>
    <w:basedOn w:val="DefaultParagraphFont"/>
    <w:link w:val="Heading8"/>
    <w:uiPriority w:val="9"/>
    <w:rsid w:val="00DD4FDD"/>
    <w:rPr>
      <w:rFonts w:ascii="Times New Roman" w:eastAsia="SimSun" w:hAnsi="Times New Roman" w:cs="Times New Roman"/>
      <w:i/>
      <w:iCs/>
      <w:sz w:val="24"/>
      <w:szCs w:val="24"/>
    </w:rPr>
  </w:style>
  <w:style w:type="character" w:customStyle="1" w:styleId="Heading9Char">
    <w:name w:val="Heading 9 Char"/>
    <w:basedOn w:val="DefaultParagraphFont"/>
    <w:link w:val="Heading9"/>
    <w:uiPriority w:val="9"/>
    <w:rsid w:val="00DD4FDD"/>
    <w:rPr>
      <w:rFonts w:ascii="Times New Roman" w:eastAsia="SimSun" w:hAnsi="Times New Roman" w:cs="Arial"/>
    </w:rPr>
  </w:style>
  <w:style w:type="character" w:styleId="Hyperlink">
    <w:name w:val="Hyperlink"/>
    <w:basedOn w:val="DefaultParagraphFont"/>
    <w:uiPriority w:val="99"/>
    <w:rsid w:val="00DD4FDD"/>
    <w:rPr>
      <w:color w:val="0000FF"/>
      <w:u w:val="single"/>
    </w:rPr>
  </w:style>
  <w:style w:type="paragraph" w:styleId="Index1">
    <w:name w:val="index 1"/>
    <w:basedOn w:val="Normal"/>
    <w:next w:val="Normal"/>
    <w:autoRedefine/>
    <w:uiPriority w:val="99"/>
    <w:rsid w:val="00DD4FDD"/>
    <w:pPr>
      <w:spacing w:after="0"/>
      <w:ind w:left="198" w:hanging="198"/>
    </w:pPr>
  </w:style>
  <w:style w:type="paragraph" w:customStyle="1" w:styleId="MarginNoteRight">
    <w:name w:val="Margin Note Right"/>
    <w:basedOn w:val="Normal"/>
    <w:rsid w:val="00DD4FDD"/>
    <w:pPr>
      <w:framePr w:w="1134" w:hSpace="181" w:vSpace="181" w:wrap="around" w:vAnchor="text" w:hAnchor="page" w:xAlign="right" w:y="1"/>
      <w:spacing w:after="80"/>
    </w:pPr>
    <w:rPr>
      <w:rFonts w:eastAsia="Times New Roman"/>
      <w:sz w:val="16"/>
      <w:szCs w:val="20"/>
      <w:lang w:eastAsia="en-US" w:bidi="ar-SA"/>
    </w:rPr>
  </w:style>
  <w:style w:type="paragraph" w:customStyle="1" w:styleId="ocNum1st1">
    <w:name w:val="oc_Num_1st 1"/>
    <w:basedOn w:val="Normal"/>
    <w:next w:val="BodyText"/>
    <w:rsid w:val="00DD4FDD"/>
    <w:pPr>
      <w:numPr>
        <w:numId w:val="1"/>
      </w:numPr>
      <w:outlineLvl w:val="0"/>
    </w:pPr>
  </w:style>
  <w:style w:type="paragraph" w:customStyle="1" w:styleId="ocNum1st2">
    <w:name w:val="oc_Num_1st 2"/>
    <w:basedOn w:val="Normal"/>
    <w:next w:val="BodyText1"/>
    <w:rsid w:val="00DD4FDD"/>
    <w:pPr>
      <w:numPr>
        <w:ilvl w:val="1"/>
        <w:numId w:val="1"/>
      </w:numPr>
      <w:outlineLvl w:val="1"/>
    </w:pPr>
  </w:style>
  <w:style w:type="paragraph" w:customStyle="1" w:styleId="ocNum1st3">
    <w:name w:val="oc_Num_1st 3"/>
    <w:basedOn w:val="Normal"/>
    <w:next w:val="BodyText2"/>
    <w:rsid w:val="00DD4FDD"/>
    <w:pPr>
      <w:numPr>
        <w:ilvl w:val="2"/>
        <w:numId w:val="1"/>
      </w:numPr>
      <w:outlineLvl w:val="2"/>
    </w:pPr>
  </w:style>
  <w:style w:type="paragraph" w:customStyle="1" w:styleId="ocNum1st4">
    <w:name w:val="oc_Num_1st 4"/>
    <w:basedOn w:val="Normal"/>
    <w:next w:val="BodyText3"/>
    <w:rsid w:val="00DD4FDD"/>
    <w:pPr>
      <w:numPr>
        <w:ilvl w:val="3"/>
        <w:numId w:val="1"/>
      </w:numPr>
      <w:outlineLvl w:val="3"/>
    </w:pPr>
  </w:style>
  <w:style w:type="paragraph" w:customStyle="1" w:styleId="ocNum1st5">
    <w:name w:val="oc_Num_1st 5"/>
    <w:basedOn w:val="Normal"/>
    <w:next w:val="BodyText4"/>
    <w:rsid w:val="00DD4FDD"/>
    <w:pPr>
      <w:numPr>
        <w:ilvl w:val="4"/>
        <w:numId w:val="1"/>
      </w:numPr>
      <w:outlineLvl w:val="4"/>
    </w:pPr>
  </w:style>
  <w:style w:type="paragraph" w:customStyle="1" w:styleId="ocNum1st6">
    <w:name w:val="oc_Num_1st 6"/>
    <w:basedOn w:val="Normal"/>
    <w:next w:val="BodyText"/>
    <w:rsid w:val="00DD4FDD"/>
    <w:pPr>
      <w:numPr>
        <w:ilvl w:val="5"/>
        <w:numId w:val="1"/>
      </w:numPr>
      <w:outlineLvl w:val="5"/>
    </w:pPr>
  </w:style>
  <w:style w:type="paragraph" w:customStyle="1" w:styleId="ocNum1st7">
    <w:name w:val="oc_Num_1st 7"/>
    <w:basedOn w:val="Normal"/>
    <w:next w:val="BodyText"/>
    <w:rsid w:val="00DD4FDD"/>
    <w:pPr>
      <w:numPr>
        <w:ilvl w:val="6"/>
        <w:numId w:val="1"/>
      </w:numPr>
      <w:outlineLvl w:val="6"/>
    </w:pPr>
  </w:style>
  <w:style w:type="paragraph" w:customStyle="1" w:styleId="ocNum1st8">
    <w:name w:val="oc_Num_1st 8"/>
    <w:basedOn w:val="Normal"/>
    <w:next w:val="BodyText"/>
    <w:rsid w:val="00DD4FDD"/>
    <w:pPr>
      <w:numPr>
        <w:ilvl w:val="7"/>
        <w:numId w:val="1"/>
      </w:numPr>
      <w:outlineLvl w:val="7"/>
    </w:pPr>
  </w:style>
  <w:style w:type="paragraph" w:customStyle="1" w:styleId="ocNum1st9">
    <w:name w:val="oc_Num_1st 9"/>
    <w:basedOn w:val="Normal"/>
    <w:next w:val="BodyText"/>
    <w:rsid w:val="00DD4FDD"/>
    <w:pPr>
      <w:numPr>
        <w:ilvl w:val="8"/>
        <w:numId w:val="1"/>
      </w:numPr>
      <w:outlineLvl w:val="8"/>
    </w:pPr>
  </w:style>
  <w:style w:type="paragraph" w:customStyle="1" w:styleId="ocNum2nd1">
    <w:name w:val="oc_Num_2nd 1"/>
    <w:basedOn w:val="Normal"/>
    <w:next w:val="BodyText"/>
    <w:rsid w:val="00DD4FDD"/>
    <w:pPr>
      <w:numPr>
        <w:numId w:val="2"/>
      </w:numPr>
      <w:outlineLvl w:val="0"/>
    </w:pPr>
  </w:style>
  <w:style w:type="paragraph" w:customStyle="1" w:styleId="ocNum2nd2">
    <w:name w:val="oc_Num_2nd 2"/>
    <w:basedOn w:val="Normal"/>
    <w:next w:val="BodyText1"/>
    <w:rsid w:val="00DD4FDD"/>
    <w:pPr>
      <w:numPr>
        <w:ilvl w:val="1"/>
        <w:numId w:val="2"/>
      </w:numPr>
      <w:outlineLvl w:val="1"/>
    </w:pPr>
  </w:style>
  <w:style w:type="paragraph" w:customStyle="1" w:styleId="ocNum2nd3">
    <w:name w:val="oc_Num_2nd 3"/>
    <w:basedOn w:val="Normal"/>
    <w:next w:val="BodyText2"/>
    <w:rsid w:val="00DD4FDD"/>
    <w:pPr>
      <w:numPr>
        <w:ilvl w:val="2"/>
        <w:numId w:val="2"/>
      </w:numPr>
      <w:outlineLvl w:val="2"/>
    </w:pPr>
  </w:style>
  <w:style w:type="paragraph" w:customStyle="1" w:styleId="ocNum2nd4">
    <w:name w:val="oc_Num_2nd 4"/>
    <w:basedOn w:val="Normal"/>
    <w:next w:val="BodyText3"/>
    <w:rsid w:val="00DD4FDD"/>
    <w:pPr>
      <w:numPr>
        <w:ilvl w:val="3"/>
        <w:numId w:val="2"/>
      </w:numPr>
      <w:outlineLvl w:val="3"/>
    </w:pPr>
  </w:style>
  <w:style w:type="paragraph" w:customStyle="1" w:styleId="ocNum2nd5">
    <w:name w:val="oc_Num_2nd 5"/>
    <w:basedOn w:val="Normal"/>
    <w:next w:val="BodyText4"/>
    <w:rsid w:val="00DD4FDD"/>
    <w:pPr>
      <w:numPr>
        <w:ilvl w:val="4"/>
        <w:numId w:val="2"/>
      </w:numPr>
      <w:outlineLvl w:val="4"/>
    </w:pPr>
  </w:style>
  <w:style w:type="paragraph" w:customStyle="1" w:styleId="ocNum2nd6">
    <w:name w:val="oc_Num_2nd 6"/>
    <w:basedOn w:val="Normal"/>
    <w:next w:val="BodyText"/>
    <w:rsid w:val="00DD4FDD"/>
    <w:pPr>
      <w:numPr>
        <w:ilvl w:val="5"/>
        <w:numId w:val="2"/>
      </w:numPr>
      <w:outlineLvl w:val="5"/>
    </w:pPr>
  </w:style>
  <w:style w:type="paragraph" w:customStyle="1" w:styleId="ocNum2nd7">
    <w:name w:val="oc_Num_2nd 7"/>
    <w:basedOn w:val="Normal"/>
    <w:next w:val="BodyText"/>
    <w:rsid w:val="00DD4FDD"/>
    <w:pPr>
      <w:numPr>
        <w:ilvl w:val="6"/>
        <w:numId w:val="2"/>
      </w:numPr>
      <w:outlineLvl w:val="6"/>
    </w:pPr>
  </w:style>
  <w:style w:type="paragraph" w:customStyle="1" w:styleId="ocNum2nd8">
    <w:name w:val="oc_Num_2nd 8"/>
    <w:basedOn w:val="Normal"/>
    <w:next w:val="BodyText"/>
    <w:rsid w:val="00DD4FDD"/>
    <w:pPr>
      <w:numPr>
        <w:ilvl w:val="7"/>
        <w:numId w:val="2"/>
      </w:numPr>
      <w:outlineLvl w:val="7"/>
    </w:pPr>
  </w:style>
  <w:style w:type="paragraph" w:customStyle="1" w:styleId="ocNum2nd9">
    <w:name w:val="oc_Num_2nd 9"/>
    <w:basedOn w:val="Normal"/>
    <w:next w:val="BodyText"/>
    <w:rsid w:val="00DD4FDD"/>
    <w:pPr>
      <w:numPr>
        <w:ilvl w:val="8"/>
        <w:numId w:val="2"/>
      </w:numPr>
      <w:outlineLvl w:val="8"/>
    </w:pPr>
  </w:style>
  <w:style w:type="paragraph" w:customStyle="1" w:styleId="ocNum3rd1">
    <w:name w:val="oc_Num_3rd 1"/>
    <w:basedOn w:val="Normal"/>
    <w:next w:val="BodyText1"/>
    <w:rsid w:val="00DD4FDD"/>
    <w:pPr>
      <w:numPr>
        <w:numId w:val="3"/>
      </w:numPr>
      <w:outlineLvl w:val="0"/>
    </w:pPr>
  </w:style>
  <w:style w:type="paragraph" w:customStyle="1" w:styleId="ocNum3rd2">
    <w:name w:val="oc_Num_3rd 2"/>
    <w:basedOn w:val="Normal"/>
    <w:next w:val="BodyText2"/>
    <w:rsid w:val="00DD4FDD"/>
    <w:pPr>
      <w:numPr>
        <w:ilvl w:val="1"/>
        <w:numId w:val="3"/>
      </w:numPr>
      <w:outlineLvl w:val="1"/>
    </w:pPr>
  </w:style>
  <w:style w:type="paragraph" w:customStyle="1" w:styleId="ocNum3rd3">
    <w:name w:val="oc_Num_3rd 3"/>
    <w:basedOn w:val="Normal"/>
    <w:next w:val="BodyText3"/>
    <w:rsid w:val="00DD4FDD"/>
    <w:pPr>
      <w:numPr>
        <w:ilvl w:val="2"/>
        <w:numId w:val="3"/>
      </w:numPr>
      <w:outlineLvl w:val="2"/>
    </w:pPr>
  </w:style>
  <w:style w:type="paragraph" w:customStyle="1" w:styleId="ocNum3rd4">
    <w:name w:val="oc_Num_3rd 4"/>
    <w:basedOn w:val="Normal"/>
    <w:next w:val="BodyText4"/>
    <w:rsid w:val="00DD4FDD"/>
    <w:pPr>
      <w:numPr>
        <w:ilvl w:val="3"/>
        <w:numId w:val="3"/>
      </w:numPr>
      <w:outlineLvl w:val="3"/>
    </w:pPr>
  </w:style>
  <w:style w:type="paragraph" w:customStyle="1" w:styleId="ocNum3rd5">
    <w:name w:val="oc_Num_3rd 5"/>
    <w:basedOn w:val="Normal"/>
    <w:next w:val="BodyText5"/>
    <w:rsid w:val="00DD4FDD"/>
    <w:pPr>
      <w:numPr>
        <w:ilvl w:val="4"/>
        <w:numId w:val="3"/>
      </w:numPr>
      <w:outlineLvl w:val="4"/>
    </w:pPr>
  </w:style>
  <w:style w:type="paragraph" w:customStyle="1" w:styleId="ocNum3rd6">
    <w:name w:val="oc_Num_3rd 6"/>
    <w:basedOn w:val="Normal"/>
    <w:next w:val="BodyText"/>
    <w:rsid w:val="00DD4FDD"/>
    <w:pPr>
      <w:numPr>
        <w:ilvl w:val="5"/>
        <w:numId w:val="3"/>
      </w:numPr>
      <w:spacing w:line="280" w:lineRule="auto"/>
      <w:outlineLvl w:val="5"/>
    </w:pPr>
    <w:rPr>
      <w:sz w:val="24"/>
    </w:rPr>
  </w:style>
  <w:style w:type="paragraph" w:customStyle="1" w:styleId="ocNum3rd7">
    <w:name w:val="oc_Num_3rd 7"/>
    <w:basedOn w:val="Normal"/>
    <w:next w:val="BodyText"/>
    <w:rsid w:val="00DD4FDD"/>
    <w:pPr>
      <w:numPr>
        <w:ilvl w:val="6"/>
        <w:numId w:val="3"/>
      </w:numPr>
      <w:spacing w:line="280" w:lineRule="auto"/>
      <w:outlineLvl w:val="6"/>
    </w:pPr>
  </w:style>
  <w:style w:type="paragraph" w:customStyle="1" w:styleId="ocNum3rd8">
    <w:name w:val="oc_Num_3rd 8"/>
    <w:basedOn w:val="Normal"/>
    <w:next w:val="BodyText"/>
    <w:rsid w:val="00DD4FDD"/>
    <w:pPr>
      <w:numPr>
        <w:ilvl w:val="7"/>
        <w:numId w:val="3"/>
      </w:numPr>
      <w:spacing w:line="280" w:lineRule="auto"/>
      <w:outlineLvl w:val="7"/>
    </w:pPr>
  </w:style>
  <w:style w:type="paragraph" w:customStyle="1" w:styleId="ocNum3rd9">
    <w:name w:val="oc_Num_3rd 9"/>
    <w:basedOn w:val="Normal"/>
    <w:next w:val="BodyText"/>
    <w:rsid w:val="00DD4FDD"/>
    <w:pPr>
      <w:numPr>
        <w:ilvl w:val="8"/>
        <w:numId w:val="3"/>
      </w:numPr>
      <w:spacing w:line="280" w:lineRule="auto"/>
      <w:outlineLvl w:val="8"/>
    </w:pPr>
  </w:style>
  <w:style w:type="paragraph" w:customStyle="1" w:styleId="ocNum4th1">
    <w:name w:val="oc_Num_4th 1"/>
    <w:basedOn w:val="Normal"/>
    <w:next w:val="BodyText"/>
    <w:rsid w:val="00DD4FDD"/>
    <w:pPr>
      <w:numPr>
        <w:numId w:val="4"/>
      </w:numPr>
      <w:outlineLvl w:val="0"/>
    </w:pPr>
  </w:style>
  <w:style w:type="paragraph" w:customStyle="1" w:styleId="ocNum4th2">
    <w:name w:val="oc_Num_4th 2"/>
    <w:basedOn w:val="Normal"/>
    <w:next w:val="BodyText1"/>
    <w:rsid w:val="00DD4FDD"/>
    <w:pPr>
      <w:numPr>
        <w:ilvl w:val="1"/>
        <w:numId w:val="4"/>
      </w:numPr>
      <w:outlineLvl w:val="1"/>
    </w:pPr>
  </w:style>
  <w:style w:type="paragraph" w:customStyle="1" w:styleId="ocNum4th3">
    <w:name w:val="oc_Num_4th 3"/>
    <w:basedOn w:val="Normal"/>
    <w:next w:val="BodyText1"/>
    <w:rsid w:val="00DD4FDD"/>
    <w:pPr>
      <w:numPr>
        <w:ilvl w:val="2"/>
        <w:numId w:val="4"/>
      </w:numPr>
      <w:outlineLvl w:val="2"/>
    </w:pPr>
  </w:style>
  <w:style w:type="paragraph" w:customStyle="1" w:styleId="ocNum4th4">
    <w:name w:val="oc_Num_4th 4"/>
    <w:basedOn w:val="Normal"/>
    <w:next w:val="BodyText1"/>
    <w:rsid w:val="00DD4FDD"/>
    <w:pPr>
      <w:numPr>
        <w:ilvl w:val="3"/>
        <w:numId w:val="4"/>
      </w:numPr>
      <w:outlineLvl w:val="3"/>
    </w:pPr>
  </w:style>
  <w:style w:type="paragraph" w:customStyle="1" w:styleId="ocNum4th5">
    <w:name w:val="oc_Num_4th 5"/>
    <w:basedOn w:val="Normal"/>
    <w:next w:val="BodyText2"/>
    <w:rsid w:val="00DD4FDD"/>
    <w:pPr>
      <w:numPr>
        <w:ilvl w:val="4"/>
        <w:numId w:val="4"/>
      </w:numPr>
      <w:outlineLvl w:val="4"/>
    </w:pPr>
  </w:style>
  <w:style w:type="paragraph" w:customStyle="1" w:styleId="ocNum4th6">
    <w:name w:val="oc_Num_4th 6"/>
    <w:basedOn w:val="Normal"/>
    <w:next w:val="BodyText3"/>
    <w:rsid w:val="00DD4FDD"/>
    <w:pPr>
      <w:numPr>
        <w:ilvl w:val="5"/>
        <w:numId w:val="4"/>
      </w:numPr>
      <w:outlineLvl w:val="5"/>
    </w:pPr>
  </w:style>
  <w:style w:type="paragraph" w:customStyle="1" w:styleId="ocNum4th7">
    <w:name w:val="oc_Num_4th 7"/>
    <w:basedOn w:val="Normal"/>
    <w:next w:val="BodyText4"/>
    <w:rsid w:val="00DD4FDD"/>
    <w:pPr>
      <w:numPr>
        <w:ilvl w:val="6"/>
        <w:numId w:val="4"/>
      </w:numPr>
      <w:outlineLvl w:val="6"/>
    </w:pPr>
  </w:style>
  <w:style w:type="paragraph" w:customStyle="1" w:styleId="ocNum4th8">
    <w:name w:val="oc_Num_4th 8"/>
    <w:basedOn w:val="Normal"/>
    <w:next w:val="BodyText5"/>
    <w:rsid w:val="00DD4FDD"/>
    <w:pPr>
      <w:numPr>
        <w:ilvl w:val="7"/>
        <w:numId w:val="4"/>
      </w:numPr>
      <w:outlineLvl w:val="7"/>
    </w:pPr>
  </w:style>
  <w:style w:type="paragraph" w:customStyle="1" w:styleId="ocNum4th9">
    <w:name w:val="oc_Num_4th 9"/>
    <w:basedOn w:val="Normal"/>
    <w:next w:val="BodyText"/>
    <w:rsid w:val="00DD4FDD"/>
    <w:pPr>
      <w:numPr>
        <w:ilvl w:val="8"/>
        <w:numId w:val="4"/>
      </w:numPr>
      <w:outlineLvl w:val="8"/>
    </w:pPr>
  </w:style>
  <w:style w:type="paragraph" w:customStyle="1" w:styleId="ocNum5th1">
    <w:name w:val="oc_Num_5th 1"/>
    <w:basedOn w:val="Normal"/>
    <w:next w:val="BodyText1"/>
    <w:rsid w:val="00DD4FDD"/>
    <w:pPr>
      <w:numPr>
        <w:numId w:val="5"/>
      </w:numPr>
      <w:outlineLvl w:val="0"/>
    </w:pPr>
  </w:style>
  <w:style w:type="paragraph" w:customStyle="1" w:styleId="ocNum5th2">
    <w:name w:val="oc_Num_5th 2"/>
    <w:basedOn w:val="Normal"/>
    <w:next w:val="BodyText1"/>
    <w:rsid w:val="00DD4FDD"/>
    <w:pPr>
      <w:numPr>
        <w:ilvl w:val="1"/>
        <w:numId w:val="5"/>
      </w:numPr>
      <w:outlineLvl w:val="1"/>
    </w:pPr>
  </w:style>
  <w:style w:type="paragraph" w:customStyle="1" w:styleId="ocNum5th3">
    <w:name w:val="oc_Num_5th 3"/>
    <w:basedOn w:val="Normal"/>
    <w:next w:val="BodyText1"/>
    <w:rsid w:val="00DD4FDD"/>
    <w:pPr>
      <w:numPr>
        <w:ilvl w:val="2"/>
        <w:numId w:val="5"/>
      </w:numPr>
      <w:outlineLvl w:val="2"/>
    </w:pPr>
  </w:style>
  <w:style w:type="paragraph" w:customStyle="1" w:styleId="ocNum5th4">
    <w:name w:val="oc_Num_5th 4"/>
    <w:basedOn w:val="Normal"/>
    <w:next w:val="BodyText2"/>
    <w:rsid w:val="00DD4FDD"/>
    <w:pPr>
      <w:numPr>
        <w:ilvl w:val="3"/>
        <w:numId w:val="5"/>
      </w:numPr>
      <w:outlineLvl w:val="3"/>
    </w:pPr>
  </w:style>
  <w:style w:type="paragraph" w:customStyle="1" w:styleId="ocNum5th5">
    <w:name w:val="oc_Num_5th 5"/>
    <w:basedOn w:val="Normal"/>
    <w:next w:val="BodyText3"/>
    <w:rsid w:val="00DD4FDD"/>
    <w:pPr>
      <w:numPr>
        <w:ilvl w:val="4"/>
        <w:numId w:val="5"/>
      </w:numPr>
      <w:outlineLvl w:val="4"/>
    </w:pPr>
  </w:style>
  <w:style w:type="paragraph" w:customStyle="1" w:styleId="ocNum5th6">
    <w:name w:val="oc_Num_5th 6"/>
    <w:basedOn w:val="Normal"/>
    <w:next w:val="BodyText4"/>
    <w:rsid w:val="00DD4FDD"/>
    <w:pPr>
      <w:numPr>
        <w:ilvl w:val="5"/>
        <w:numId w:val="5"/>
      </w:numPr>
      <w:outlineLvl w:val="5"/>
    </w:pPr>
  </w:style>
  <w:style w:type="paragraph" w:customStyle="1" w:styleId="ocNum5th7">
    <w:name w:val="oc_Num_5th 7"/>
    <w:basedOn w:val="Normal"/>
    <w:next w:val="BodyText"/>
    <w:rsid w:val="00DD4FDD"/>
    <w:pPr>
      <w:numPr>
        <w:ilvl w:val="6"/>
        <w:numId w:val="5"/>
      </w:numPr>
      <w:outlineLvl w:val="6"/>
    </w:pPr>
  </w:style>
  <w:style w:type="paragraph" w:customStyle="1" w:styleId="ocNum5th8">
    <w:name w:val="oc_Num_5th 8"/>
    <w:basedOn w:val="Normal"/>
    <w:next w:val="BodyText"/>
    <w:rsid w:val="00DD4FDD"/>
    <w:pPr>
      <w:numPr>
        <w:ilvl w:val="7"/>
        <w:numId w:val="5"/>
      </w:numPr>
      <w:outlineLvl w:val="7"/>
    </w:pPr>
  </w:style>
  <w:style w:type="paragraph" w:customStyle="1" w:styleId="ocNum5th9">
    <w:name w:val="oc_Num_5th 9"/>
    <w:basedOn w:val="Normal"/>
    <w:next w:val="BodyText"/>
    <w:rsid w:val="00DD4FDD"/>
    <w:pPr>
      <w:numPr>
        <w:ilvl w:val="8"/>
        <w:numId w:val="5"/>
      </w:numPr>
      <w:outlineLvl w:val="8"/>
    </w:pPr>
  </w:style>
  <w:style w:type="character" w:styleId="PageNumber">
    <w:name w:val="page number"/>
    <w:basedOn w:val="DefaultParagraphFont"/>
    <w:uiPriority w:val="99"/>
    <w:rsid w:val="00DD4FDD"/>
    <w:rPr>
      <w:rFonts w:ascii="Times New Roman" w:hAnsi="Times New Roman" w:cs="Times New Roman"/>
      <w:b w:val="0"/>
      <w:sz w:val="24"/>
    </w:rPr>
  </w:style>
  <w:style w:type="paragraph" w:customStyle="1" w:styleId="TableMiddleRows">
    <w:name w:val="Table Middle Rows"/>
    <w:basedOn w:val="Normal"/>
    <w:link w:val="TableMiddleRowsChar"/>
    <w:rsid w:val="00DD4FDD"/>
    <w:pPr>
      <w:keepNext/>
      <w:tabs>
        <w:tab w:val="right" w:leader="dot" w:pos="4140"/>
      </w:tabs>
      <w:spacing w:after="0"/>
    </w:pPr>
    <w:rPr>
      <w:rFonts w:eastAsia="Times New Roman" w:cs="Times"/>
      <w:iCs/>
      <w:sz w:val="16"/>
      <w:lang w:eastAsia="en-US" w:bidi="ar-SA"/>
    </w:rPr>
  </w:style>
  <w:style w:type="paragraph" w:customStyle="1" w:styleId="TableBottomRow">
    <w:name w:val="Table Bottom Row"/>
    <w:basedOn w:val="TableMiddleRows"/>
    <w:next w:val="Normal"/>
    <w:rsid w:val="00DD4FDD"/>
    <w:pPr>
      <w:tabs>
        <w:tab w:val="clear" w:pos="4140"/>
        <w:tab w:val="right" w:leader="dot" w:pos="5724"/>
      </w:tabs>
      <w:spacing w:after="80"/>
    </w:pPr>
  </w:style>
  <w:style w:type="paragraph" w:customStyle="1" w:styleId="TableFootnote">
    <w:name w:val="Table Footnote"/>
    <w:basedOn w:val="Normal"/>
    <w:rsid w:val="009F14BC"/>
    <w:pPr>
      <w:spacing w:after="120"/>
      <w:ind w:left="908" w:hanging="284"/>
    </w:pPr>
    <w:rPr>
      <w:rFonts w:eastAsia="Times New Roman" w:cs="Times"/>
      <w:sz w:val="16"/>
      <w:szCs w:val="20"/>
      <w:lang w:eastAsia="en-US" w:bidi="ar-SA"/>
    </w:rPr>
  </w:style>
  <w:style w:type="paragraph" w:customStyle="1" w:styleId="TableHeader">
    <w:name w:val="Table Header"/>
    <w:basedOn w:val="Normal"/>
    <w:rsid w:val="00DD4FDD"/>
    <w:pPr>
      <w:keepNext/>
      <w:tabs>
        <w:tab w:val="right" w:leader="dot" w:pos="4140"/>
      </w:tabs>
      <w:spacing w:after="80"/>
      <w:jc w:val="center"/>
    </w:pPr>
    <w:rPr>
      <w:rFonts w:eastAsia="Times New Roman" w:cs="Times"/>
      <w:bCs/>
      <w:sz w:val="16"/>
      <w:lang w:eastAsia="en-US" w:bidi="ar-SA"/>
    </w:rPr>
  </w:style>
  <w:style w:type="paragraph" w:customStyle="1" w:styleId="Tableheaderrow">
    <w:name w:val="Table header row"/>
    <w:basedOn w:val="Normal"/>
    <w:rsid w:val="00DD4FDD"/>
    <w:pPr>
      <w:keepNext/>
      <w:tabs>
        <w:tab w:val="right" w:leader="dot" w:pos="4140"/>
      </w:tabs>
      <w:spacing w:after="80"/>
      <w:jc w:val="center"/>
    </w:pPr>
    <w:rPr>
      <w:rFonts w:ascii="Times New Roman Bold" w:eastAsia="Times New Roman" w:hAnsi="Times New Roman Bold" w:cs="Times"/>
      <w:b/>
      <w:bCs/>
      <w:sz w:val="16"/>
      <w:lang w:eastAsia="en-US" w:bidi="ar-SA"/>
    </w:rPr>
  </w:style>
  <w:style w:type="paragraph" w:customStyle="1" w:styleId="Tableheaderrowitalic">
    <w:name w:val="Table header row italic"/>
    <w:basedOn w:val="Tableheaderrow"/>
    <w:rsid w:val="00DD4FDD"/>
    <w:pPr>
      <w:tabs>
        <w:tab w:val="clear" w:pos="4140"/>
        <w:tab w:val="right" w:leader="dot" w:pos="5291"/>
      </w:tabs>
    </w:pPr>
    <w:rPr>
      <w:rFonts w:ascii="Times New Roman" w:hAnsi="Times New Roman"/>
      <w:b w:val="0"/>
      <w:i/>
      <w:iCs/>
    </w:rPr>
  </w:style>
  <w:style w:type="paragraph" w:customStyle="1" w:styleId="TableLine">
    <w:name w:val="Table Line"/>
    <w:basedOn w:val="Normal"/>
    <w:rsid w:val="00DD4FDD"/>
    <w:pPr>
      <w:tabs>
        <w:tab w:val="right" w:leader="underscore" w:pos="2325"/>
      </w:tabs>
      <w:spacing w:after="0" w:line="288" w:lineRule="auto"/>
      <w:ind w:left="624"/>
    </w:pPr>
    <w:rPr>
      <w:rFonts w:eastAsia="Times New Roman" w:cs="Times"/>
      <w:szCs w:val="20"/>
      <w:lang w:eastAsia="en-US" w:bidi="ar-SA"/>
    </w:rPr>
  </w:style>
  <w:style w:type="paragraph" w:customStyle="1" w:styleId="TableMarginNote">
    <w:name w:val="Table Margin Note"/>
    <w:basedOn w:val="Normal"/>
    <w:rsid w:val="00DD4FDD"/>
    <w:pPr>
      <w:spacing w:line="288" w:lineRule="auto"/>
    </w:pPr>
    <w:rPr>
      <w:rFonts w:eastAsia="Times New Roman" w:cs="Times"/>
      <w:sz w:val="16"/>
      <w:szCs w:val="20"/>
      <w:lang w:eastAsia="en-US" w:bidi="ar-SA"/>
    </w:rPr>
  </w:style>
  <w:style w:type="paragraph" w:customStyle="1" w:styleId="Tablerow">
    <w:name w:val="Table row"/>
    <w:basedOn w:val="Tableheaderrow"/>
    <w:rsid w:val="00DD4FDD"/>
    <w:pPr>
      <w:tabs>
        <w:tab w:val="clear" w:pos="4140"/>
        <w:tab w:val="right" w:leader="dot" w:pos="6300"/>
      </w:tabs>
      <w:jc w:val="left"/>
    </w:pPr>
    <w:rPr>
      <w:rFonts w:ascii="Times New Roman" w:hAnsi="Times New Roman"/>
      <w:b w:val="0"/>
    </w:rPr>
  </w:style>
  <w:style w:type="paragraph" w:customStyle="1" w:styleId="Title1">
    <w:name w:val="Title 1"/>
    <w:basedOn w:val="Normal"/>
    <w:next w:val="BodyText"/>
    <w:link w:val="Title1Char"/>
    <w:rsid w:val="00DD4FDD"/>
    <w:pPr>
      <w:pageBreakBefore/>
      <w:jc w:val="center"/>
    </w:pPr>
    <w:rPr>
      <w:rFonts w:ascii="Times New Roman Bold" w:hAnsi="Times New Roman Bold" w:cs="Times"/>
      <w:b/>
      <w:caps/>
    </w:rPr>
  </w:style>
  <w:style w:type="paragraph" w:customStyle="1" w:styleId="Title2">
    <w:name w:val="Title 2"/>
    <w:basedOn w:val="Normal"/>
    <w:next w:val="BodyText"/>
    <w:rsid w:val="00DD4FDD"/>
    <w:pPr>
      <w:keepNext/>
      <w:jc w:val="center"/>
    </w:pPr>
    <w:rPr>
      <w:rFonts w:ascii="Times New Roman Bold" w:eastAsia="Times New Roman" w:hAnsi="Times New Roman Bold" w:cs="Times"/>
      <w:b/>
      <w:caps/>
      <w:lang w:eastAsia="en-US" w:bidi="ar-SA"/>
    </w:rPr>
  </w:style>
  <w:style w:type="paragraph" w:customStyle="1" w:styleId="Title3">
    <w:name w:val="Title 3"/>
    <w:basedOn w:val="Normal"/>
    <w:next w:val="BodyText"/>
    <w:link w:val="Title3Char"/>
    <w:rsid w:val="00DD4FDD"/>
    <w:pPr>
      <w:keepNext/>
      <w:jc w:val="center"/>
    </w:pPr>
    <w:rPr>
      <w:rFonts w:ascii="Times New Roman Bold" w:hAnsi="Times New Roman Bold" w:cs="Times"/>
      <w:b/>
      <w:caps/>
    </w:rPr>
  </w:style>
  <w:style w:type="paragraph" w:customStyle="1" w:styleId="Title4">
    <w:name w:val="Title 4"/>
    <w:basedOn w:val="Normal"/>
    <w:next w:val="BodyText"/>
    <w:rsid w:val="00DD4FDD"/>
    <w:pPr>
      <w:keepNext/>
    </w:pPr>
    <w:rPr>
      <w:rFonts w:ascii="Times New Roman Bold" w:hAnsi="Times New Roman Bold" w:cs="Times"/>
      <w:b/>
    </w:rPr>
  </w:style>
  <w:style w:type="paragraph" w:customStyle="1" w:styleId="Title5">
    <w:name w:val="Title 5"/>
    <w:basedOn w:val="Normal"/>
    <w:next w:val="BodyText1"/>
    <w:rsid w:val="00DD4FDD"/>
    <w:pPr>
      <w:keepNext/>
      <w:ind w:left="680"/>
    </w:pPr>
    <w:rPr>
      <w:rFonts w:ascii="Times New Roman Bold" w:hAnsi="Times New Roman Bold" w:cs="Times"/>
      <w:b/>
    </w:rPr>
  </w:style>
  <w:style w:type="paragraph" w:customStyle="1" w:styleId="Title6">
    <w:name w:val="Title 6"/>
    <w:basedOn w:val="Normal"/>
    <w:next w:val="BodyText1"/>
    <w:rsid w:val="00DD4FDD"/>
    <w:pPr>
      <w:keepNext/>
      <w:ind w:left="680"/>
    </w:pPr>
    <w:rPr>
      <w:rFonts w:ascii="Times New Roman Bold" w:hAnsi="Times New Roman Bold" w:cs="Times"/>
      <w:b/>
      <w:i/>
    </w:rPr>
  </w:style>
  <w:style w:type="paragraph" w:customStyle="1" w:styleId="Title7">
    <w:name w:val="Title 7"/>
    <w:basedOn w:val="Normal"/>
    <w:next w:val="BodyText"/>
    <w:link w:val="Title7Char"/>
    <w:rsid w:val="00DD4FDD"/>
    <w:pPr>
      <w:keepNext/>
    </w:pPr>
    <w:rPr>
      <w:rFonts w:cs="Times"/>
      <w:i/>
    </w:rPr>
  </w:style>
  <w:style w:type="paragraph" w:styleId="TOC1">
    <w:name w:val="toc 1"/>
    <w:basedOn w:val="Normal"/>
    <w:next w:val="Normal"/>
    <w:autoRedefine/>
    <w:uiPriority w:val="39"/>
    <w:rsid w:val="00DD4FDD"/>
    <w:pPr>
      <w:spacing w:after="60"/>
      <w:jc w:val="left"/>
    </w:pPr>
    <w:rPr>
      <w:rFonts w:eastAsia="Times New Roman"/>
      <w:lang w:eastAsia="en-US" w:bidi="ar-SA"/>
    </w:rPr>
  </w:style>
  <w:style w:type="paragraph" w:styleId="TOC2">
    <w:name w:val="toc 2"/>
    <w:basedOn w:val="Normal"/>
    <w:next w:val="Normal"/>
    <w:autoRedefine/>
    <w:uiPriority w:val="39"/>
    <w:rsid w:val="00DD4FDD"/>
    <w:pPr>
      <w:spacing w:after="60"/>
      <w:ind w:left="198"/>
      <w:jc w:val="left"/>
    </w:pPr>
    <w:rPr>
      <w:rFonts w:eastAsia="Times New Roman"/>
      <w:lang w:eastAsia="en-US" w:bidi="ar-SA"/>
    </w:rPr>
  </w:style>
  <w:style w:type="paragraph" w:styleId="TOC3">
    <w:name w:val="toc 3"/>
    <w:basedOn w:val="Normal"/>
    <w:next w:val="Normal"/>
    <w:autoRedefine/>
    <w:uiPriority w:val="39"/>
    <w:rsid w:val="00DD4FDD"/>
    <w:pPr>
      <w:spacing w:after="60"/>
      <w:ind w:left="403"/>
      <w:jc w:val="left"/>
    </w:pPr>
    <w:rPr>
      <w:rFonts w:eastAsia="Times New Roman"/>
      <w:lang w:eastAsia="en-US" w:bidi="ar-SA"/>
    </w:rPr>
  </w:style>
  <w:style w:type="paragraph" w:styleId="TOC4">
    <w:name w:val="toc 4"/>
    <w:basedOn w:val="Normal"/>
    <w:next w:val="Normal"/>
    <w:autoRedefine/>
    <w:uiPriority w:val="39"/>
    <w:rsid w:val="00DD4FDD"/>
    <w:pPr>
      <w:spacing w:after="60"/>
      <w:ind w:left="601"/>
      <w:jc w:val="left"/>
    </w:pPr>
    <w:rPr>
      <w:rFonts w:eastAsia="Times New Roman"/>
      <w:lang w:eastAsia="en-US" w:bidi="ar-SA"/>
    </w:rPr>
  </w:style>
  <w:style w:type="paragraph" w:customStyle="1" w:styleId="BulletL9">
    <w:name w:val="Bullet L9"/>
    <w:basedOn w:val="Normal"/>
    <w:link w:val="BulletL9Char"/>
    <w:rsid w:val="00AD29B8"/>
    <w:pPr>
      <w:numPr>
        <w:ilvl w:val="8"/>
        <w:numId w:val="6"/>
      </w:numPr>
    </w:pPr>
    <w:rPr>
      <w:sz w:val="24"/>
    </w:rPr>
  </w:style>
  <w:style w:type="character" w:customStyle="1" w:styleId="BulletL9Char">
    <w:name w:val="Bullet L9 Char"/>
    <w:basedOn w:val="BodyTextChar"/>
    <w:link w:val="BulletL9"/>
    <w:rsid w:val="00AD29B8"/>
    <w:rPr>
      <w:rFonts w:eastAsia="SimSun" w:cs="Times New Roman"/>
      <w:sz w:val="24"/>
    </w:rPr>
  </w:style>
  <w:style w:type="paragraph" w:customStyle="1" w:styleId="BulletL8">
    <w:name w:val="Bullet L8"/>
    <w:basedOn w:val="Normal"/>
    <w:link w:val="BulletL8Char"/>
    <w:rsid w:val="00AD29B8"/>
    <w:pPr>
      <w:numPr>
        <w:ilvl w:val="7"/>
        <w:numId w:val="6"/>
      </w:numPr>
    </w:pPr>
    <w:rPr>
      <w:sz w:val="24"/>
    </w:rPr>
  </w:style>
  <w:style w:type="character" w:customStyle="1" w:styleId="BulletL8Char">
    <w:name w:val="Bullet L8 Char"/>
    <w:basedOn w:val="BodyTextChar"/>
    <w:link w:val="BulletL8"/>
    <w:rsid w:val="00AD29B8"/>
    <w:rPr>
      <w:rFonts w:eastAsia="SimSun" w:cs="Times New Roman"/>
      <w:sz w:val="24"/>
    </w:rPr>
  </w:style>
  <w:style w:type="paragraph" w:customStyle="1" w:styleId="BulletL7">
    <w:name w:val="Bullet L7"/>
    <w:basedOn w:val="Normal"/>
    <w:link w:val="BulletL7Char"/>
    <w:rsid w:val="009406D8"/>
    <w:pPr>
      <w:numPr>
        <w:ilvl w:val="6"/>
        <w:numId w:val="6"/>
      </w:numPr>
      <w:outlineLvl w:val="6"/>
    </w:pPr>
  </w:style>
  <w:style w:type="character" w:customStyle="1" w:styleId="BulletL7Char">
    <w:name w:val="Bullet L7 Char"/>
    <w:basedOn w:val="BodyTextChar"/>
    <w:link w:val="BulletL7"/>
    <w:rsid w:val="009406D8"/>
    <w:rPr>
      <w:rFonts w:eastAsia="SimSun" w:cs="Times New Roman"/>
    </w:rPr>
  </w:style>
  <w:style w:type="paragraph" w:customStyle="1" w:styleId="BulletL6">
    <w:name w:val="Bullet L6"/>
    <w:basedOn w:val="Normal"/>
    <w:link w:val="BulletL6Char"/>
    <w:rsid w:val="009406D8"/>
    <w:pPr>
      <w:numPr>
        <w:ilvl w:val="5"/>
        <w:numId w:val="6"/>
      </w:numPr>
      <w:outlineLvl w:val="5"/>
    </w:pPr>
  </w:style>
  <w:style w:type="character" w:customStyle="1" w:styleId="BulletL6Char">
    <w:name w:val="Bullet L6 Char"/>
    <w:basedOn w:val="BodyTextChar"/>
    <w:link w:val="BulletL6"/>
    <w:rsid w:val="009406D8"/>
    <w:rPr>
      <w:rFonts w:eastAsia="SimSun" w:cs="Times New Roman"/>
    </w:rPr>
  </w:style>
  <w:style w:type="paragraph" w:customStyle="1" w:styleId="BulletL5">
    <w:name w:val="Bullet L5"/>
    <w:basedOn w:val="Normal"/>
    <w:link w:val="BulletL5Char"/>
    <w:rsid w:val="009406D8"/>
    <w:pPr>
      <w:numPr>
        <w:ilvl w:val="4"/>
        <w:numId w:val="6"/>
      </w:numPr>
      <w:ind w:hanging="680"/>
      <w:outlineLvl w:val="4"/>
    </w:pPr>
  </w:style>
  <w:style w:type="character" w:customStyle="1" w:styleId="BulletL5Char">
    <w:name w:val="Bullet L5 Char"/>
    <w:basedOn w:val="BodyTextChar"/>
    <w:link w:val="BulletL5"/>
    <w:rsid w:val="009406D8"/>
    <w:rPr>
      <w:rFonts w:eastAsia="SimSun" w:cs="Times New Roman"/>
    </w:rPr>
  </w:style>
  <w:style w:type="paragraph" w:customStyle="1" w:styleId="BulletL4">
    <w:name w:val="Bullet L4"/>
    <w:basedOn w:val="Normal"/>
    <w:link w:val="BulletL4Char"/>
    <w:rsid w:val="009406D8"/>
    <w:pPr>
      <w:numPr>
        <w:ilvl w:val="3"/>
        <w:numId w:val="6"/>
      </w:numPr>
      <w:outlineLvl w:val="3"/>
    </w:pPr>
  </w:style>
  <w:style w:type="character" w:customStyle="1" w:styleId="BulletL4Char">
    <w:name w:val="Bullet L4 Char"/>
    <w:basedOn w:val="BodyTextChar"/>
    <w:link w:val="BulletL4"/>
    <w:rsid w:val="009406D8"/>
    <w:rPr>
      <w:rFonts w:eastAsia="SimSun" w:cs="Times New Roman"/>
    </w:rPr>
  </w:style>
  <w:style w:type="paragraph" w:customStyle="1" w:styleId="BulletL3">
    <w:name w:val="Bullet L3"/>
    <w:basedOn w:val="Normal"/>
    <w:link w:val="BulletL3Char"/>
    <w:rsid w:val="009406D8"/>
    <w:pPr>
      <w:numPr>
        <w:ilvl w:val="2"/>
        <w:numId w:val="6"/>
      </w:numPr>
      <w:outlineLvl w:val="2"/>
    </w:pPr>
  </w:style>
  <w:style w:type="character" w:customStyle="1" w:styleId="BulletL3Char">
    <w:name w:val="Bullet L3 Char"/>
    <w:basedOn w:val="BodyTextChar"/>
    <w:link w:val="BulletL3"/>
    <w:rsid w:val="009406D8"/>
    <w:rPr>
      <w:rFonts w:eastAsia="SimSun" w:cs="Times New Roman"/>
    </w:rPr>
  </w:style>
  <w:style w:type="paragraph" w:customStyle="1" w:styleId="BulletL2">
    <w:name w:val="Bullet L2"/>
    <w:basedOn w:val="Normal"/>
    <w:link w:val="BulletL2Char"/>
    <w:rsid w:val="009406D8"/>
    <w:pPr>
      <w:numPr>
        <w:ilvl w:val="1"/>
        <w:numId w:val="6"/>
      </w:numPr>
      <w:ind w:left="1360" w:hanging="680"/>
      <w:outlineLvl w:val="1"/>
    </w:pPr>
  </w:style>
  <w:style w:type="character" w:customStyle="1" w:styleId="BulletL2Char">
    <w:name w:val="Bullet L2 Char"/>
    <w:basedOn w:val="BodyTextChar"/>
    <w:link w:val="BulletL2"/>
    <w:rsid w:val="009406D8"/>
    <w:rPr>
      <w:rFonts w:eastAsia="SimSun" w:cs="Times New Roman"/>
    </w:rPr>
  </w:style>
  <w:style w:type="paragraph" w:customStyle="1" w:styleId="BulletL1">
    <w:name w:val="Bullet L1"/>
    <w:basedOn w:val="Normal"/>
    <w:link w:val="BulletL1Char"/>
    <w:rsid w:val="009406D8"/>
    <w:pPr>
      <w:numPr>
        <w:numId w:val="6"/>
      </w:numPr>
      <w:ind w:hanging="680"/>
      <w:outlineLvl w:val="0"/>
    </w:pPr>
  </w:style>
  <w:style w:type="character" w:customStyle="1" w:styleId="BulletL1Char">
    <w:name w:val="Bullet L1 Char"/>
    <w:basedOn w:val="BodyTextChar"/>
    <w:link w:val="BulletL1"/>
    <w:rsid w:val="009406D8"/>
    <w:rPr>
      <w:rFonts w:eastAsia="SimSun" w:cs="Times New Roman"/>
    </w:rPr>
  </w:style>
  <w:style w:type="character" w:styleId="CommentReference">
    <w:name w:val="annotation reference"/>
    <w:basedOn w:val="DefaultParagraphFont"/>
    <w:uiPriority w:val="99"/>
    <w:unhideWhenUsed/>
    <w:rsid w:val="00175B32"/>
    <w:rPr>
      <w:sz w:val="16"/>
      <w:szCs w:val="16"/>
    </w:rPr>
  </w:style>
  <w:style w:type="paragraph" w:styleId="CommentText">
    <w:name w:val="annotation text"/>
    <w:basedOn w:val="Normal"/>
    <w:link w:val="CommentTextChar"/>
    <w:uiPriority w:val="99"/>
    <w:unhideWhenUsed/>
    <w:rsid w:val="00175B32"/>
    <w:rPr>
      <w:szCs w:val="20"/>
    </w:rPr>
  </w:style>
  <w:style w:type="character" w:customStyle="1" w:styleId="CommentTextChar">
    <w:name w:val="Comment Text Char"/>
    <w:basedOn w:val="DefaultParagraphFont"/>
    <w:link w:val="CommentText"/>
    <w:uiPriority w:val="99"/>
    <w:rsid w:val="00175B3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unhideWhenUsed/>
    <w:rsid w:val="00175B32"/>
    <w:rPr>
      <w:b/>
      <w:bCs/>
    </w:rPr>
  </w:style>
  <w:style w:type="character" w:customStyle="1" w:styleId="CommentSubjectChar">
    <w:name w:val="Comment Subject Char"/>
    <w:basedOn w:val="CommentTextChar"/>
    <w:link w:val="CommentSubject"/>
    <w:uiPriority w:val="99"/>
    <w:rsid w:val="00175B32"/>
    <w:rPr>
      <w:b/>
      <w:bCs/>
    </w:rPr>
  </w:style>
  <w:style w:type="paragraph" w:styleId="Revision">
    <w:name w:val="Revision"/>
    <w:hidden/>
    <w:uiPriority w:val="99"/>
    <w:semiHidden/>
    <w:rsid w:val="00175B32"/>
    <w:pPr>
      <w:spacing w:after="0" w:line="240" w:lineRule="auto"/>
    </w:pPr>
    <w:rPr>
      <w:rFonts w:ascii="Times New Roman" w:eastAsia="SimSun" w:hAnsi="Times New Roman" w:cs="Times New Roman"/>
      <w:sz w:val="20"/>
      <w:szCs w:val="24"/>
    </w:rPr>
  </w:style>
  <w:style w:type="paragraph" w:styleId="BalloonText">
    <w:name w:val="Balloon Text"/>
    <w:basedOn w:val="Normal"/>
    <w:link w:val="BalloonTextChar"/>
    <w:uiPriority w:val="99"/>
    <w:unhideWhenUsed/>
    <w:rsid w:val="00175B3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75B32"/>
    <w:rPr>
      <w:rFonts w:ascii="Tahoma" w:eastAsia="SimSun" w:hAnsi="Tahoma" w:cs="Tahoma"/>
      <w:sz w:val="16"/>
      <w:szCs w:val="16"/>
    </w:rPr>
  </w:style>
  <w:style w:type="paragraph" w:styleId="TOC5">
    <w:name w:val="toc 5"/>
    <w:basedOn w:val="Normal"/>
    <w:next w:val="Normal"/>
    <w:autoRedefine/>
    <w:uiPriority w:val="39"/>
    <w:unhideWhenUsed/>
    <w:rsid w:val="00AD7028"/>
    <w:pPr>
      <w:spacing w:after="100"/>
      <w:ind w:left="800"/>
      <w:jc w:val="left"/>
    </w:pPr>
  </w:style>
  <w:style w:type="paragraph" w:styleId="TOC6">
    <w:name w:val="toc 6"/>
    <w:basedOn w:val="Normal"/>
    <w:next w:val="Normal"/>
    <w:autoRedefine/>
    <w:uiPriority w:val="39"/>
    <w:unhideWhenUsed/>
    <w:rsid w:val="00AD7028"/>
    <w:pPr>
      <w:spacing w:after="100"/>
      <w:ind w:left="1000"/>
      <w:jc w:val="left"/>
    </w:pPr>
  </w:style>
  <w:style w:type="paragraph" w:styleId="TOC7">
    <w:name w:val="toc 7"/>
    <w:basedOn w:val="Normal"/>
    <w:next w:val="Normal"/>
    <w:autoRedefine/>
    <w:uiPriority w:val="39"/>
    <w:unhideWhenUsed/>
    <w:rsid w:val="00AD7028"/>
    <w:pPr>
      <w:spacing w:after="100"/>
      <w:ind w:left="1200"/>
      <w:jc w:val="left"/>
    </w:pPr>
  </w:style>
  <w:style w:type="paragraph" w:styleId="TOC8">
    <w:name w:val="toc 8"/>
    <w:basedOn w:val="Normal"/>
    <w:next w:val="Normal"/>
    <w:autoRedefine/>
    <w:uiPriority w:val="39"/>
    <w:unhideWhenUsed/>
    <w:rsid w:val="00AD7028"/>
    <w:pPr>
      <w:spacing w:after="100"/>
      <w:ind w:left="1400"/>
      <w:jc w:val="left"/>
    </w:pPr>
  </w:style>
  <w:style w:type="paragraph" w:styleId="TOC9">
    <w:name w:val="toc 9"/>
    <w:basedOn w:val="Normal"/>
    <w:next w:val="Normal"/>
    <w:autoRedefine/>
    <w:uiPriority w:val="39"/>
    <w:unhideWhenUsed/>
    <w:rsid w:val="00AD7028"/>
    <w:pPr>
      <w:spacing w:after="100"/>
      <w:ind w:left="1600"/>
      <w:jc w:val="left"/>
    </w:pPr>
  </w:style>
  <w:style w:type="character" w:styleId="EndnoteReference">
    <w:name w:val="endnote reference"/>
    <w:basedOn w:val="DefaultParagraphFont"/>
    <w:uiPriority w:val="99"/>
    <w:rsid w:val="00BC0214"/>
    <w:rPr>
      <w:rFonts w:ascii="Times New Roman" w:eastAsia="SimSun" w:hAnsi="Times New Roman" w:cs="Simplified Arabic"/>
      <w:sz w:val="18"/>
      <w:szCs w:val="18"/>
      <w:vertAlign w:val="superscript"/>
      <w:lang w:val="en-GB" w:bidi="ar-AE"/>
    </w:rPr>
  </w:style>
  <w:style w:type="paragraph" w:styleId="FootnoteText">
    <w:name w:val="footnote text"/>
    <w:basedOn w:val="Normal"/>
    <w:next w:val="Normal"/>
    <w:link w:val="FootnoteTextChar"/>
    <w:uiPriority w:val="99"/>
    <w:rsid w:val="00BC0214"/>
    <w:pPr>
      <w:spacing w:after="120"/>
      <w:ind w:left="340" w:hanging="340"/>
    </w:pPr>
    <w:rPr>
      <w:szCs w:val="20"/>
    </w:rPr>
  </w:style>
  <w:style w:type="character" w:customStyle="1" w:styleId="FootnoteTextChar">
    <w:name w:val="Footnote Text Char"/>
    <w:basedOn w:val="DefaultParagraphFont"/>
    <w:link w:val="FootnoteText"/>
    <w:uiPriority w:val="99"/>
    <w:rsid w:val="00BC0214"/>
    <w:rPr>
      <w:rFonts w:ascii="Times New Roman" w:eastAsia="SimSun" w:hAnsi="Times New Roman" w:cs="Times New Roman"/>
      <w:sz w:val="20"/>
      <w:szCs w:val="20"/>
    </w:rPr>
  </w:style>
  <w:style w:type="character" w:styleId="FootnoteReference">
    <w:name w:val="footnote reference"/>
    <w:basedOn w:val="DefaultParagraphFont"/>
    <w:uiPriority w:val="99"/>
    <w:rsid w:val="00BC0214"/>
    <w:rPr>
      <w:rFonts w:ascii="Times New Roman" w:eastAsia="SimSun" w:hAnsi="Times New Roman" w:cs="Simplified Arabic"/>
      <w:sz w:val="18"/>
      <w:szCs w:val="18"/>
      <w:vertAlign w:val="superscript"/>
      <w:lang w:bidi="ar-AE"/>
    </w:rPr>
  </w:style>
  <w:style w:type="character" w:customStyle="1" w:styleId="Title1Char">
    <w:name w:val="Title 1 Char"/>
    <w:basedOn w:val="DefaultParagraphFont"/>
    <w:link w:val="Title1"/>
    <w:rsid w:val="00BC0214"/>
    <w:rPr>
      <w:rFonts w:ascii="Times New Roman Bold" w:eastAsia="SimSun" w:hAnsi="Times New Roman Bold" w:cs="Times"/>
      <w:b/>
      <w:caps/>
      <w:sz w:val="20"/>
      <w:szCs w:val="24"/>
    </w:rPr>
  </w:style>
  <w:style w:type="character" w:customStyle="1" w:styleId="Title7Char">
    <w:name w:val="Title 7 Char"/>
    <w:basedOn w:val="DefaultParagraphFont"/>
    <w:link w:val="Title7"/>
    <w:rsid w:val="00BC0214"/>
    <w:rPr>
      <w:rFonts w:ascii="Times New Roman" w:eastAsia="SimSun" w:hAnsi="Times New Roman" w:cs="Times"/>
      <w:i/>
      <w:sz w:val="20"/>
      <w:szCs w:val="24"/>
    </w:rPr>
  </w:style>
  <w:style w:type="character" w:customStyle="1" w:styleId="TableMiddleRowsChar">
    <w:name w:val="Table Middle Rows Char"/>
    <w:basedOn w:val="DefaultParagraphFont"/>
    <w:link w:val="TableMiddleRows"/>
    <w:rsid w:val="008E4EC3"/>
    <w:rPr>
      <w:rFonts w:ascii="Times New Roman" w:eastAsia="Times New Roman" w:hAnsi="Times New Roman" w:cs="Times"/>
      <w:iCs/>
      <w:sz w:val="16"/>
      <w:szCs w:val="24"/>
      <w:lang w:eastAsia="en-US" w:bidi="ar-SA"/>
    </w:rPr>
  </w:style>
  <w:style w:type="paragraph" w:customStyle="1" w:styleId="wBullet2">
    <w:name w:val="wBullet2"/>
    <w:basedOn w:val="Normal"/>
    <w:uiPriority w:val="7"/>
    <w:qFormat/>
    <w:rsid w:val="008E4EC3"/>
    <w:pPr>
      <w:numPr>
        <w:numId w:val="7"/>
      </w:numPr>
      <w:spacing w:after="180"/>
      <w:ind w:left="2160" w:hanging="720"/>
      <w:jc w:val="left"/>
    </w:pPr>
    <w:rPr>
      <w:rFonts w:eastAsia="MS Mincho"/>
      <w:szCs w:val="22"/>
      <w:lang w:eastAsia="en-US" w:bidi="ar-SA"/>
    </w:rPr>
  </w:style>
  <w:style w:type="table" w:customStyle="1" w:styleId="TableGrid3">
    <w:name w:val="Table Grid3"/>
    <w:basedOn w:val="TableNormal"/>
    <w:rsid w:val="008E4EC3"/>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E4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Footer"/>
    <w:link w:val="FooterRightChar"/>
    <w:rsid w:val="00A11DE8"/>
    <w:pPr>
      <w:jc w:val="right"/>
    </w:pPr>
  </w:style>
  <w:style w:type="character" w:customStyle="1" w:styleId="FooterRightChar">
    <w:name w:val="Footer Right Char"/>
    <w:basedOn w:val="BodyTextChar"/>
    <w:link w:val="FooterRight"/>
    <w:rsid w:val="00A11DE8"/>
    <w:rPr>
      <w:rFonts w:cs="Times New Roman"/>
      <w:sz w:val="16"/>
    </w:rPr>
  </w:style>
  <w:style w:type="character" w:styleId="PlaceholderText">
    <w:name w:val="Placeholder Text"/>
    <w:basedOn w:val="DefaultParagraphFont"/>
    <w:rsid w:val="00A11DE8"/>
    <w:rPr>
      <w:color w:val="808080"/>
    </w:rPr>
  </w:style>
  <w:style w:type="table" w:customStyle="1" w:styleId="Adresstabell1">
    <w:name w:val="Adresstabell1"/>
    <w:basedOn w:val="TableNormal"/>
    <w:rsid w:val="00E55762"/>
    <w:pPr>
      <w:spacing w:after="0" w:line="240" w:lineRule="auto"/>
    </w:pPr>
    <w:rPr>
      <w:rFonts w:ascii="Times New Roman" w:eastAsia="Times New Roman" w:hAnsi="Times New Roman" w:cs="Times New Roman"/>
      <w:sz w:val="20"/>
      <w:szCs w:val="20"/>
      <w:lang w:val="sv-SE" w:bidi="ar-SA"/>
    </w:rPr>
    <w:tblPr>
      <w:tblInd w:w="0" w:type="dxa"/>
      <w:tblCellMar>
        <w:top w:w="0" w:type="dxa"/>
        <w:left w:w="108" w:type="dxa"/>
        <w:bottom w:w="0" w:type="dxa"/>
        <w:right w:w="108" w:type="dxa"/>
      </w:tblCellMar>
    </w:tblPr>
  </w:style>
  <w:style w:type="paragraph" w:customStyle="1" w:styleId="BodyText6">
    <w:name w:val="Body Text 6"/>
    <w:basedOn w:val="Normal"/>
    <w:rsid w:val="00E55762"/>
    <w:pPr>
      <w:ind w:left="4320"/>
    </w:pPr>
    <w:rPr>
      <w:lang w:eastAsia="en-GB"/>
    </w:rPr>
  </w:style>
  <w:style w:type="paragraph" w:customStyle="1" w:styleId="BodyText7">
    <w:name w:val="Body Text 7"/>
    <w:basedOn w:val="Normal"/>
    <w:rsid w:val="00E55762"/>
    <w:pPr>
      <w:ind w:left="5041"/>
    </w:pPr>
    <w:rPr>
      <w:lang w:eastAsia="en-GB"/>
    </w:rPr>
  </w:style>
  <w:style w:type="paragraph" w:styleId="BodyTextFirstIndent">
    <w:name w:val="Body Text First Indent"/>
    <w:basedOn w:val="BodyText"/>
    <w:link w:val="BodyTextFirstIndentChar"/>
    <w:uiPriority w:val="99"/>
    <w:rsid w:val="00E55762"/>
    <w:pPr>
      <w:ind w:firstLine="720"/>
    </w:pPr>
    <w:rPr>
      <w:rFonts w:eastAsia="SimSun" w:cs="Times New Roman"/>
      <w:lang w:eastAsia="en-GB" w:bidi="he-IL"/>
    </w:rPr>
  </w:style>
  <w:style w:type="character" w:customStyle="1" w:styleId="BodyTextFirstIndentChar">
    <w:name w:val="Body Text First Indent Char"/>
    <w:basedOn w:val="BodyTextChar"/>
    <w:link w:val="BodyTextFirstIndent"/>
    <w:uiPriority w:val="99"/>
    <w:rsid w:val="00E55762"/>
    <w:rPr>
      <w:rFonts w:eastAsia="SimSun" w:cs="Times New Roman"/>
      <w:lang w:eastAsia="en-GB"/>
    </w:rPr>
  </w:style>
  <w:style w:type="paragraph" w:styleId="BodyTextIndent">
    <w:name w:val="Body Text Indent"/>
    <w:basedOn w:val="Normal"/>
    <w:link w:val="BodyTextIndentChar"/>
    <w:uiPriority w:val="99"/>
    <w:rsid w:val="00E55762"/>
    <w:pPr>
      <w:spacing w:after="120"/>
      <w:ind w:left="283"/>
    </w:pPr>
  </w:style>
  <w:style w:type="character" w:customStyle="1" w:styleId="BodyTextIndentChar">
    <w:name w:val="Body Text Indent Char"/>
    <w:basedOn w:val="DefaultParagraphFont"/>
    <w:link w:val="BodyTextIndent"/>
    <w:uiPriority w:val="99"/>
    <w:rsid w:val="00E55762"/>
    <w:rPr>
      <w:rFonts w:ascii="Times New Roman" w:eastAsia="SimSun" w:hAnsi="Times New Roman" w:cs="Times New Roman"/>
      <w:sz w:val="20"/>
      <w:szCs w:val="24"/>
    </w:rPr>
  </w:style>
  <w:style w:type="paragraph" w:styleId="BodyTextFirstIndent2">
    <w:name w:val="Body Text First Indent 2"/>
    <w:basedOn w:val="BodyTextFirstIndent"/>
    <w:link w:val="BodyTextFirstIndent2Char"/>
    <w:uiPriority w:val="99"/>
    <w:rsid w:val="00E55762"/>
    <w:pPr>
      <w:ind w:firstLine="1440"/>
    </w:pPr>
  </w:style>
  <w:style w:type="character" w:customStyle="1" w:styleId="BodyTextFirstIndent2Char">
    <w:name w:val="Body Text First Indent 2 Char"/>
    <w:basedOn w:val="BodyTextIndentChar"/>
    <w:link w:val="BodyTextFirstIndent2"/>
    <w:uiPriority w:val="99"/>
    <w:rsid w:val="00E55762"/>
    <w:rPr>
      <w:lang w:eastAsia="en-GB"/>
    </w:rPr>
  </w:style>
  <w:style w:type="character" w:styleId="Emphasis">
    <w:name w:val="Emphasis"/>
    <w:uiPriority w:val="20"/>
    <w:qFormat/>
    <w:rsid w:val="00E55762"/>
    <w:rPr>
      <w:i/>
      <w:iCs/>
    </w:rPr>
  </w:style>
  <w:style w:type="paragraph" w:styleId="EndnoteText">
    <w:name w:val="endnote text"/>
    <w:basedOn w:val="Normal"/>
    <w:next w:val="Normal"/>
    <w:link w:val="EndnoteTextChar"/>
    <w:uiPriority w:val="99"/>
    <w:rsid w:val="00E55762"/>
    <w:pPr>
      <w:spacing w:after="120"/>
      <w:ind w:left="340" w:hanging="340"/>
    </w:pPr>
    <w:rPr>
      <w:szCs w:val="20"/>
    </w:rPr>
  </w:style>
  <w:style w:type="character" w:customStyle="1" w:styleId="EndnoteTextChar">
    <w:name w:val="Endnote Text Char"/>
    <w:basedOn w:val="DefaultParagraphFont"/>
    <w:link w:val="EndnoteText"/>
    <w:uiPriority w:val="99"/>
    <w:rsid w:val="00E55762"/>
    <w:rPr>
      <w:rFonts w:ascii="Times New Roman" w:eastAsia="SimSun" w:hAnsi="Times New Roman" w:cs="Times New Roman"/>
      <w:sz w:val="20"/>
      <w:szCs w:val="20"/>
    </w:rPr>
  </w:style>
  <w:style w:type="paragraph" w:customStyle="1" w:styleId="Footnote">
    <w:name w:val="Footnote"/>
    <w:basedOn w:val="FootnoteText"/>
    <w:rsid w:val="00E55762"/>
    <w:pPr>
      <w:tabs>
        <w:tab w:val="left" w:pos="340"/>
      </w:tabs>
    </w:pPr>
  </w:style>
  <w:style w:type="paragraph" w:styleId="IndexHeading">
    <w:name w:val="index heading"/>
    <w:basedOn w:val="Normal"/>
    <w:next w:val="Normal"/>
    <w:uiPriority w:val="99"/>
    <w:rsid w:val="00E55762"/>
    <w:rPr>
      <w:b/>
      <w:bCs/>
    </w:rPr>
  </w:style>
  <w:style w:type="paragraph" w:styleId="ListParagraph">
    <w:name w:val="List Paragraph"/>
    <w:basedOn w:val="Normal"/>
    <w:qFormat/>
    <w:rsid w:val="00E55762"/>
    <w:pPr>
      <w:ind w:left="720"/>
      <w:contextualSpacing/>
    </w:pPr>
  </w:style>
  <w:style w:type="paragraph" w:styleId="NoSpacing">
    <w:name w:val="No Spacing"/>
    <w:basedOn w:val="Normal"/>
    <w:uiPriority w:val="1"/>
    <w:qFormat/>
    <w:rsid w:val="00E55762"/>
    <w:pPr>
      <w:spacing w:after="0"/>
    </w:pPr>
  </w:style>
  <w:style w:type="paragraph" w:customStyle="1" w:styleId="NormalBold">
    <w:name w:val="NormalBold"/>
    <w:basedOn w:val="Normal"/>
    <w:next w:val="Normal"/>
    <w:rsid w:val="00E55762"/>
    <w:rPr>
      <w:b/>
      <w:bCs/>
    </w:rPr>
  </w:style>
  <w:style w:type="paragraph" w:customStyle="1" w:styleId="NormalBoldNS">
    <w:name w:val="NormalBoldNS"/>
    <w:basedOn w:val="Normal"/>
    <w:next w:val="Normal"/>
    <w:rsid w:val="00E55762"/>
    <w:pPr>
      <w:spacing w:after="0"/>
      <w:jc w:val="left"/>
    </w:pPr>
    <w:rPr>
      <w:b/>
      <w:bCs/>
    </w:rPr>
  </w:style>
  <w:style w:type="paragraph" w:customStyle="1" w:styleId="NormalNS">
    <w:name w:val="NormalNS"/>
    <w:basedOn w:val="Normal"/>
    <w:rsid w:val="00E55762"/>
    <w:pPr>
      <w:spacing w:after="0"/>
    </w:pPr>
  </w:style>
  <w:style w:type="paragraph" w:customStyle="1" w:styleId="NormalRight">
    <w:name w:val="NormalRight"/>
    <w:basedOn w:val="NormalNS"/>
    <w:rsid w:val="00E55762"/>
    <w:pPr>
      <w:jc w:val="right"/>
    </w:pPr>
  </w:style>
  <w:style w:type="paragraph" w:customStyle="1" w:styleId="NoteContinuation">
    <w:name w:val="Note Continuation"/>
    <w:basedOn w:val="Normal"/>
    <w:rsid w:val="00E55762"/>
    <w:pPr>
      <w:spacing w:after="120"/>
      <w:ind w:left="340"/>
    </w:pPr>
    <w:rPr>
      <w:szCs w:val="20"/>
    </w:rPr>
  </w:style>
  <w:style w:type="character" w:styleId="Strong">
    <w:name w:val="Strong"/>
    <w:uiPriority w:val="22"/>
    <w:qFormat/>
    <w:rsid w:val="00E55762"/>
    <w:rPr>
      <w:b/>
      <w:bCs/>
    </w:rPr>
  </w:style>
  <w:style w:type="paragraph" w:styleId="Subtitle">
    <w:name w:val="Subtitle"/>
    <w:basedOn w:val="Normal"/>
    <w:next w:val="BodyText"/>
    <w:link w:val="SubtitleChar"/>
    <w:uiPriority w:val="11"/>
    <w:qFormat/>
    <w:rsid w:val="00E55762"/>
    <w:pPr>
      <w:numPr>
        <w:ilvl w:val="1"/>
      </w:numPr>
      <w:jc w:val="center"/>
    </w:pPr>
  </w:style>
  <w:style w:type="character" w:customStyle="1" w:styleId="SubtitleChar">
    <w:name w:val="Subtitle Char"/>
    <w:basedOn w:val="DefaultParagraphFont"/>
    <w:link w:val="Subtitle"/>
    <w:uiPriority w:val="11"/>
    <w:rsid w:val="00E55762"/>
    <w:rPr>
      <w:rFonts w:ascii="Times New Roman" w:eastAsia="SimSun" w:hAnsi="Times New Roman" w:cs="Times New Roman"/>
      <w:sz w:val="20"/>
      <w:szCs w:val="24"/>
    </w:rPr>
  </w:style>
  <w:style w:type="paragraph" w:styleId="Title">
    <w:name w:val="Title"/>
    <w:basedOn w:val="Normal"/>
    <w:next w:val="BodyText"/>
    <w:link w:val="TitleChar"/>
    <w:uiPriority w:val="10"/>
    <w:qFormat/>
    <w:rsid w:val="00E55762"/>
    <w:pPr>
      <w:jc w:val="center"/>
    </w:pPr>
    <w:rPr>
      <w:b/>
      <w:bCs/>
    </w:rPr>
  </w:style>
  <w:style w:type="character" w:customStyle="1" w:styleId="TitleChar">
    <w:name w:val="Title Char"/>
    <w:basedOn w:val="DefaultParagraphFont"/>
    <w:link w:val="Title"/>
    <w:uiPriority w:val="10"/>
    <w:rsid w:val="00E55762"/>
    <w:rPr>
      <w:rFonts w:ascii="Times New Roman" w:eastAsia="SimSun" w:hAnsi="Times New Roman" w:cs="Times New Roman"/>
      <w:b/>
      <w:bCs/>
      <w:sz w:val="20"/>
      <w:szCs w:val="24"/>
    </w:rPr>
  </w:style>
  <w:style w:type="paragraph" w:styleId="TOCHeading">
    <w:name w:val="TOC Heading"/>
    <w:basedOn w:val="Normal"/>
    <w:next w:val="Normal"/>
    <w:uiPriority w:val="39"/>
    <w:qFormat/>
    <w:rsid w:val="00E55762"/>
    <w:pPr>
      <w:jc w:val="center"/>
    </w:pPr>
    <w:rPr>
      <w:b/>
      <w:bCs/>
      <w:caps/>
    </w:rPr>
  </w:style>
  <w:style w:type="paragraph" w:customStyle="1" w:styleId="BGHStandard">
    <w:name w:val="BGH Standard"/>
    <w:basedOn w:val="Normal"/>
    <w:rsid w:val="00E55762"/>
    <w:pPr>
      <w:ind w:left="1985"/>
    </w:pPr>
    <w:rPr>
      <w:lang w:eastAsia="en-GB"/>
    </w:rPr>
  </w:style>
  <w:style w:type="paragraph" w:customStyle="1" w:styleId="NormalRight12">
    <w:name w:val="NormalRight12"/>
    <w:basedOn w:val="NormalRight"/>
    <w:rsid w:val="00E55762"/>
    <w:pPr>
      <w:spacing w:after="240"/>
    </w:pPr>
  </w:style>
  <w:style w:type="paragraph" w:customStyle="1" w:styleId="SubTitle0">
    <w:name w:val="SubTitle0"/>
    <w:basedOn w:val="Subtitle"/>
    <w:rsid w:val="00E55762"/>
    <w:pPr>
      <w:spacing w:after="0"/>
    </w:pPr>
  </w:style>
  <w:style w:type="paragraph" w:customStyle="1" w:styleId="OptionLabel">
    <w:name w:val="OptionLabel"/>
    <w:rsid w:val="00E55762"/>
    <w:pPr>
      <w:spacing w:after="0" w:line="240" w:lineRule="auto"/>
    </w:pPr>
    <w:rPr>
      <w:rFonts w:ascii="Times New Roman" w:eastAsia="SimSun" w:hAnsi="Times New Roman" w:cs="Simplified Arabic"/>
      <w:b/>
      <w:bCs/>
      <w:sz w:val="24"/>
      <w:szCs w:val="24"/>
      <w:lang w:bidi="ar-AE"/>
    </w:rPr>
  </w:style>
  <w:style w:type="paragraph" w:customStyle="1" w:styleId="NormalLeft">
    <w:name w:val="NormalLeft"/>
    <w:basedOn w:val="Normal"/>
    <w:next w:val="Normal"/>
    <w:rsid w:val="00E55762"/>
    <w:pPr>
      <w:jc w:val="left"/>
    </w:pPr>
  </w:style>
  <w:style w:type="paragraph" w:styleId="Bibliography">
    <w:name w:val="Bibliography"/>
    <w:basedOn w:val="Normal"/>
    <w:next w:val="Normal"/>
    <w:uiPriority w:val="37"/>
    <w:rsid w:val="00E55762"/>
  </w:style>
  <w:style w:type="paragraph" w:styleId="BlockText">
    <w:name w:val="Block Text"/>
    <w:basedOn w:val="Normal"/>
    <w:uiPriority w:val="99"/>
    <w:rsid w:val="00E55762"/>
    <w:pPr>
      <w:spacing w:after="120"/>
      <w:ind w:left="1440" w:right="1440"/>
    </w:pPr>
  </w:style>
  <w:style w:type="paragraph" w:styleId="BodyTextIndent2">
    <w:name w:val="Body Text Indent 2"/>
    <w:basedOn w:val="Normal"/>
    <w:link w:val="BodyTextIndent2Char"/>
    <w:uiPriority w:val="99"/>
    <w:rsid w:val="00E55762"/>
    <w:pPr>
      <w:spacing w:after="120"/>
      <w:ind w:left="360"/>
    </w:pPr>
  </w:style>
  <w:style w:type="character" w:customStyle="1" w:styleId="BodyTextIndent2Char">
    <w:name w:val="Body Text Indent 2 Char"/>
    <w:basedOn w:val="DefaultParagraphFont"/>
    <w:link w:val="BodyTextIndent2"/>
    <w:uiPriority w:val="99"/>
    <w:rsid w:val="00E55762"/>
    <w:rPr>
      <w:rFonts w:ascii="Times New Roman" w:eastAsia="SimSun" w:hAnsi="Times New Roman" w:cs="Times New Roman"/>
      <w:sz w:val="20"/>
      <w:szCs w:val="24"/>
    </w:rPr>
  </w:style>
  <w:style w:type="paragraph" w:styleId="BodyTextIndent3">
    <w:name w:val="Body Text Indent 3"/>
    <w:basedOn w:val="Normal"/>
    <w:link w:val="BodyTextIndent3Char"/>
    <w:uiPriority w:val="99"/>
    <w:rsid w:val="00E55762"/>
    <w:pPr>
      <w:spacing w:after="120"/>
      <w:ind w:left="360"/>
    </w:pPr>
    <w:rPr>
      <w:sz w:val="16"/>
      <w:szCs w:val="16"/>
    </w:rPr>
  </w:style>
  <w:style w:type="character" w:customStyle="1" w:styleId="BodyTextIndent3Char">
    <w:name w:val="Body Text Indent 3 Char"/>
    <w:basedOn w:val="DefaultParagraphFont"/>
    <w:link w:val="BodyTextIndent3"/>
    <w:uiPriority w:val="99"/>
    <w:rsid w:val="00E55762"/>
    <w:rPr>
      <w:rFonts w:ascii="Times New Roman" w:eastAsia="SimSun" w:hAnsi="Times New Roman" w:cs="Times New Roman"/>
      <w:sz w:val="16"/>
      <w:szCs w:val="16"/>
    </w:rPr>
  </w:style>
  <w:style w:type="paragraph" w:styleId="Caption">
    <w:name w:val="caption"/>
    <w:basedOn w:val="Normal"/>
    <w:next w:val="Normal"/>
    <w:qFormat/>
    <w:rsid w:val="00E55762"/>
    <w:rPr>
      <w:b/>
      <w:bCs/>
      <w:szCs w:val="20"/>
    </w:rPr>
  </w:style>
  <w:style w:type="paragraph" w:styleId="Closing">
    <w:name w:val="Closing"/>
    <w:basedOn w:val="Normal"/>
    <w:link w:val="ClosingChar"/>
    <w:uiPriority w:val="99"/>
    <w:rsid w:val="00E55762"/>
    <w:pPr>
      <w:ind w:left="4320"/>
    </w:pPr>
  </w:style>
  <w:style w:type="character" w:customStyle="1" w:styleId="ClosingChar">
    <w:name w:val="Closing Char"/>
    <w:basedOn w:val="DefaultParagraphFont"/>
    <w:link w:val="Closing"/>
    <w:uiPriority w:val="99"/>
    <w:rsid w:val="00E55762"/>
    <w:rPr>
      <w:rFonts w:ascii="Times New Roman" w:eastAsia="SimSun" w:hAnsi="Times New Roman" w:cs="Times New Roman"/>
      <w:sz w:val="20"/>
      <w:szCs w:val="24"/>
    </w:rPr>
  </w:style>
  <w:style w:type="table" w:customStyle="1" w:styleId="ColorfulGrid1">
    <w:name w:val="Colorful Grid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E55762"/>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E55762"/>
  </w:style>
  <w:style w:type="character" w:customStyle="1" w:styleId="DateChar">
    <w:name w:val="Date Char"/>
    <w:basedOn w:val="DefaultParagraphFont"/>
    <w:link w:val="Date"/>
    <w:uiPriority w:val="99"/>
    <w:rsid w:val="00E55762"/>
    <w:rPr>
      <w:rFonts w:ascii="Times New Roman" w:eastAsia="SimSun" w:hAnsi="Times New Roman" w:cs="Times New Roman"/>
      <w:sz w:val="20"/>
      <w:szCs w:val="24"/>
    </w:rPr>
  </w:style>
  <w:style w:type="paragraph" w:styleId="DocumentMap">
    <w:name w:val="Document Map"/>
    <w:basedOn w:val="Normal"/>
    <w:link w:val="DocumentMapChar"/>
    <w:uiPriority w:val="99"/>
    <w:rsid w:val="00E55762"/>
    <w:rPr>
      <w:rFonts w:ascii="Tahoma" w:hAnsi="Tahoma" w:cs="Tahoma"/>
      <w:sz w:val="16"/>
      <w:szCs w:val="16"/>
    </w:rPr>
  </w:style>
  <w:style w:type="character" w:customStyle="1" w:styleId="DocumentMapChar">
    <w:name w:val="Document Map Char"/>
    <w:basedOn w:val="DefaultParagraphFont"/>
    <w:link w:val="DocumentMap"/>
    <w:uiPriority w:val="99"/>
    <w:rsid w:val="00E55762"/>
    <w:rPr>
      <w:rFonts w:ascii="Tahoma" w:eastAsia="SimSun" w:hAnsi="Tahoma" w:cs="Tahoma"/>
      <w:sz w:val="16"/>
      <w:szCs w:val="16"/>
    </w:rPr>
  </w:style>
  <w:style w:type="paragraph" w:styleId="E-mailSignature">
    <w:name w:val="E-mail Signature"/>
    <w:basedOn w:val="Normal"/>
    <w:link w:val="E-mailSignatureChar"/>
    <w:uiPriority w:val="99"/>
    <w:rsid w:val="00E55762"/>
  </w:style>
  <w:style w:type="character" w:customStyle="1" w:styleId="E-mailSignatureChar">
    <w:name w:val="E-mail Signature Char"/>
    <w:basedOn w:val="DefaultParagraphFont"/>
    <w:link w:val="E-mailSignature"/>
    <w:uiPriority w:val="99"/>
    <w:rsid w:val="00E55762"/>
    <w:rPr>
      <w:rFonts w:ascii="Times New Roman" w:eastAsia="SimSun" w:hAnsi="Times New Roman" w:cs="Times New Roman"/>
      <w:sz w:val="20"/>
      <w:szCs w:val="24"/>
    </w:rPr>
  </w:style>
  <w:style w:type="paragraph" w:styleId="EnvelopeAddress">
    <w:name w:val="envelope address"/>
    <w:basedOn w:val="Normal"/>
    <w:uiPriority w:val="99"/>
    <w:rsid w:val="00E55762"/>
    <w:pPr>
      <w:framePr w:w="7920" w:h="1980" w:hRule="exact" w:hSpace="180" w:wrap="auto" w:hAnchor="page" w:xAlign="center" w:yAlign="bottom"/>
      <w:ind w:left="2880"/>
    </w:pPr>
    <w:rPr>
      <w:rFonts w:cs="Simplified Arabic"/>
    </w:rPr>
  </w:style>
  <w:style w:type="paragraph" w:styleId="EnvelopeReturn">
    <w:name w:val="envelope return"/>
    <w:basedOn w:val="Normal"/>
    <w:uiPriority w:val="99"/>
    <w:rsid w:val="00E55762"/>
    <w:rPr>
      <w:rFonts w:cs="Simplified Arabic"/>
      <w:szCs w:val="20"/>
    </w:rPr>
  </w:style>
  <w:style w:type="paragraph" w:styleId="HTMLAddress">
    <w:name w:val="HTML Address"/>
    <w:basedOn w:val="Normal"/>
    <w:link w:val="HTMLAddressChar"/>
    <w:rsid w:val="00E55762"/>
    <w:rPr>
      <w:i/>
      <w:iCs/>
    </w:rPr>
  </w:style>
  <w:style w:type="character" w:customStyle="1" w:styleId="HTMLAddressChar">
    <w:name w:val="HTML Address Char"/>
    <w:basedOn w:val="DefaultParagraphFont"/>
    <w:link w:val="HTMLAddress"/>
    <w:rsid w:val="00E55762"/>
    <w:rPr>
      <w:rFonts w:ascii="Times New Roman" w:eastAsia="SimSun" w:hAnsi="Times New Roman" w:cs="Times New Roman"/>
      <w:i/>
      <w:iCs/>
      <w:sz w:val="20"/>
      <w:szCs w:val="24"/>
    </w:rPr>
  </w:style>
  <w:style w:type="paragraph" w:styleId="HTMLPreformatted">
    <w:name w:val="HTML Preformatted"/>
    <w:basedOn w:val="Normal"/>
    <w:link w:val="HTMLPreformattedChar"/>
    <w:rsid w:val="00E55762"/>
    <w:rPr>
      <w:rFonts w:ascii="Courier New" w:hAnsi="Courier New" w:cs="Courier New"/>
      <w:szCs w:val="20"/>
    </w:rPr>
  </w:style>
  <w:style w:type="character" w:customStyle="1" w:styleId="HTMLPreformattedChar">
    <w:name w:val="HTML Preformatted Char"/>
    <w:basedOn w:val="DefaultParagraphFont"/>
    <w:link w:val="HTMLPreformatted"/>
    <w:rsid w:val="00E55762"/>
    <w:rPr>
      <w:rFonts w:ascii="Courier New" w:eastAsia="SimSun" w:hAnsi="Courier New" w:cs="Courier New"/>
      <w:sz w:val="20"/>
      <w:szCs w:val="20"/>
    </w:rPr>
  </w:style>
  <w:style w:type="paragraph" w:styleId="Index2">
    <w:name w:val="index 2"/>
    <w:basedOn w:val="Normal"/>
    <w:next w:val="Normal"/>
    <w:autoRedefine/>
    <w:uiPriority w:val="99"/>
    <w:rsid w:val="00E55762"/>
    <w:pPr>
      <w:ind w:left="480" w:hanging="240"/>
    </w:pPr>
  </w:style>
  <w:style w:type="paragraph" w:styleId="Index3">
    <w:name w:val="index 3"/>
    <w:basedOn w:val="Normal"/>
    <w:next w:val="Normal"/>
    <w:autoRedefine/>
    <w:uiPriority w:val="99"/>
    <w:rsid w:val="00E55762"/>
    <w:pPr>
      <w:ind w:left="720" w:hanging="240"/>
    </w:pPr>
  </w:style>
  <w:style w:type="paragraph" w:styleId="Index4">
    <w:name w:val="index 4"/>
    <w:basedOn w:val="Normal"/>
    <w:next w:val="Normal"/>
    <w:autoRedefine/>
    <w:uiPriority w:val="99"/>
    <w:rsid w:val="00E55762"/>
    <w:pPr>
      <w:ind w:left="960" w:hanging="240"/>
    </w:pPr>
  </w:style>
  <w:style w:type="paragraph" w:styleId="Index5">
    <w:name w:val="index 5"/>
    <w:basedOn w:val="Normal"/>
    <w:next w:val="Normal"/>
    <w:autoRedefine/>
    <w:uiPriority w:val="99"/>
    <w:rsid w:val="00E55762"/>
    <w:pPr>
      <w:ind w:left="1200" w:hanging="240"/>
    </w:pPr>
  </w:style>
  <w:style w:type="paragraph" w:styleId="Index6">
    <w:name w:val="index 6"/>
    <w:basedOn w:val="Normal"/>
    <w:next w:val="Normal"/>
    <w:autoRedefine/>
    <w:uiPriority w:val="99"/>
    <w:rsid w:val="00E55762"/>
    <w:pPr>
      <w:ind w:left="1440" w:hanging="240"/>
    </w:pPr>
  </w:style>
  <w:style w:type="paragraph" w:styleId="Index7">
    <w:name w:val="index 7"/>
    <w:basedOn w:val="Normal"/>
    <w:next w:val="Normal"/>
    <w:autoRedefine/>
    <w:uiPriority w:val="99"/>
    <w:rsid w:val="00E55762"/>
    <w:pPr>
      <w:ind w:left="1680" w:hanging="240"/>
    </w:pPr>
  </w:style>
  <w:style w:type="paragraph" w:styleId="Index8">
    <w:name w:val="index 8"/>
    <w:basedOn w:val="Normal"/>
    <w:next w:val="Normal"/>
    <w:autoRedefine/>
    <w:uiPriority w:val="99"/>
    <w:rsid w:val="00E55762"/>
    <w:pPr>
      <w:ind w:left="1920" w:hanging="240"/>
    </w:pPr>
  </w:style>
  <w:style w:type="paragraph" w:styleId="Index9">
    <w:name w:val="index 9"/>
    <w:basedOn w:val="Normal"/>
    <w:next w:val="Normal"/>
    <w:autoRedefine/>
    <w:uiPriority w:val="99"/>
    <w:rsid w:val="00E55762"/>
    <w:pPr>
      <w:ind w:left="2160" w:hanging="240"/>
    </w:pPr>
  </w:style>
  <w:style w:type="table" w:customStyle="1" w:styleId="LightGrid1">
    <w:name w:val="Light Grid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E55762"/>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E55762"/>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E55762"/>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E55762"/>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E55762"/>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E55762"/>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E55762"/>
    <w:pPr>
      <w:ind w:left="360" w:hanging="360"/>
      <w:contextualSpacing/>
    </w:pPr>
  </w:style>
  <w:style w:type="paragraph" w:styleId="List2">
    <w:name w:val="List 2"/>
    <w:basedOn w:val="Normal"/>
    <w:uiPriority w:val="99"/>
    <w:rsid w:val="00E55762"/>
    <w:pPr>
      <w:ind w:left="720" w:hanging="360"/>
      <w:contextualSpacing/>
    </w:pPr>
  </w:style>
  <w:style w:type="paragraph" w:styleId="List3">
    <w:name w:val="List 3"/>
    <w:basedOn w:val="Normal"/>
    <w:uiPriority w:val="99"/>
    <w:rsid w:val="00E55762"/>
    <w:pPr>
      <w:ind w:left="1080" w:hanging="360"/>
      <w:contextualSpacing/>
    </w:pPr>
  </w:style>
  <w:style w:type="paragraph" w:styleId="List4">
    <w:name w:val="List 4"/>
    <w:basedOn w:val="Normal"/>
    <w:uiPriority w:val="99"/>
    <w:rsid w:val="00E55762"/>
    <w:pPr>
      <w:ind w:left="1440" w:hanging="360"/>
      <w:contextualSpacing/>
    </w:pPr>
  </w:style>
  <w:style w:type="paragraph" w:styleId="List5">
    <w:name w:val="List 5"/>
    <w:basedOn w:val="Normal"/>
    <w:uiPriority w:val="99"/>
    <w:rsid w:val="00E55762"/>
    <w:pPr>
      <w:ind w:left="1800" w:hanging="360"/>
      <w:contextualSpacing/>
    </w:pPr>
  </w:style>
  <w:style w:type="paragraph" w:styleId="ListContinue">
    <w:name w:val="List Continue"/>
    <w:basedOn w:val="Normal"/>
    <w:uiPriority w:val="99"/>
    <w:rsid w:val="00E55762"/>
    <w:pPr>
      <w:spacing w:after="120"/>
      <w:ind w:left="360"/>
      <w:contextualSpacing/>
    </w:pPr>
  </w:style>
  <w:style w:type="paragraph" w:styleId="ListContinue2">
    <w:name w:val="List Continue 2"/>
    <w:basedOn w:val="Normal"/>
    <w:uiPriority w:val="99"/>
    <w:rsid w:val="00E55762"/>
    <w:pPr>
      <w:spacing w:after="120"/>
      <w:ind w:left="720"/>
      <w:contextualSpacing/>
    </w:pPr>
  </w:style>
  <w:style w:type="paragraph" w:styleId="ListContinue3">
    <w:name w:val="List Continue 3"/>
    <w:basedOn w:val="Normal"/>
    <w:uiPriority w:val="99"/>
    <w:rsid w:val="00E55762"/>
    <w:pPr>
      <w:spacing w:after="120"/>
      <w:ind w:left="1080"/>
      <w:contextualSpacing/>
    </w:pPr>
  </w:style>
  <w:style w:type="paragraph" w:styleId="ListContinue4">
    <w:name w:val="List Continue 4"/>
    <w:basedOn w:val="Normal"/>
    <w:uiPriority w:val="99"/>
    <w:rsid w:val="00E55762"/>
    <w:pPr>
      <w:spacing w:after="120"/>
      <w:ind w:left="1440"/>
      <w:contextualSpacing/>
    </w:pPr>
  </w:style>
  <w:style w:type="paragraph" w:styleId="ListContinue5">
    <w:name w:val="List Continue 5"/>
    <w:basedOn w:val="Normal"/>
    <w:uiPriority w:val="99"/>
    <w:rsid w:val="00E55762"/>
    <w:pPr>
      <w:spacing w:after="120"/>
      <w:ind w:left="1800"/>
      <w:contextualSpacing/>
    </w:pPr>
  </w:style>
  <w:style w:type="table" w:customStyle="1" w:styleId="MediumGrid11">
    <w:name w:val="Medium Grid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E55762"/>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E55762"/>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55762"/>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E55762"/>
    <w:rPr>
      <w:rFonts w:ascii="Times New Roman" w:eastAsia="SimSun" w:hAnsi="Times New Roman" w:cs="Simplified Arabic"/>
      <w:sz w:val="20"/>
      <w:szCs w:val="24"/>
      <w:shd w:val="pct20" w:color="auto" w:fill="auto"/>
    </w:rPr>
  </w:style>
  <w:style w:type="paragraph" w:styleId="NormalWeb">
    <w:name w:val="Normal (Web)"/>
    <w:basedOn w:val="Normal"/>
    <w:rsid w:val="00E55762"/>
  </w:style>
  <w:style w:type="paragraph" w:styleId="NormalIndent">
    <w:name w:val="Normal Indent"/>
    <w:basedOn w:val="Normal"/>
    <w:rsid w:val="00E55762"/>
    <w:pPr>
      <w:ind w:left="720"/>
    </w:pPr>
  </w:style>
  <w:style w:type="paragraph" w:customStyle="1" w:styleId="NoteHeading1">
    <w:name w:val="Note Heading1"/>
    <w:basedOn w:val="Normal"/>
    <w:next w:val="Normal"/>
    <w:link w:val="NoteHeadingChar"/>
    <w:rsid w:val="00E55762"/>
  </w:style>
  <w:style w:type="character" w:customStyle="1" w:styleId="NoteHeadingChar">
    <w:name w:val="Note Heading Char"/>
    <w:basedOn w:val="DefaultParagraphFont"/>
    <w:link w:val="NoteHeading1"/>
    <w:rsid w:val="00E55762"/>
    <w:rPr>
      <w:rFonts w:ascii="Times New Roman" w:eastAsia="SimSun" w:hAnsi="Times New Roman" w:cs="Times New Roman"/>
      <w:sz w:val="20"/>
      <w:szCs w:val="24"/>
    </w:rPr>
  </w:style>
  <w:style w:type="paragraph" w:styleId="PlainText">
    <w:name w:val="Plain Text"/>
    <w:basedOn w:val="Normal"/>
    <w:link w:val="PlainTextChar"/>
    <w:uiPriority w:val="99"/>
    <w:rsid w:val="00E55762"/>
    <w:rPr>
      <w:rFonts w:ascii="Courier New" w:hAnsi="Courier New" w:cs="Courier New"/>
      <w:szCs w:val="20"/>
    </w:rPr>
  </w:style>
  <w:style w:type="character" w:customStyle="1" w:styleId="PlainTextChar">
    <w:name w:val="Plain Text Char"/>
    <w:basedOn w:val="DefaultParagraphFont"/>
    <w:link w:val="PlainText"/>
    <w:uiPriority w:val="99"/>
    <w:rsid w:val="00E55762"/>
    <w:rPr>
      <w:rFonts w:ascii="Courier New" w:eastAsia="SimSun" w:hAnsi="Courier New" w:cs="Courier New"/>
      <w:sz w:val="20"/>
      <w:szCs w:val="20"/>
    </w:rPr>
  </w:style>
  <w:style w:type="paragraph" w:styleId="Quote">
    <w:name w:val="Quote"/>
    <w:basedOn w:val="Normal"/>
    <w:next w:val="Normal"/>
    <w:link w:val="QuoteChar"/>
    <w:uiPriority w:val="29"/>
    <w:qFormat/>
    <w:rsid w:val="00E55762"/>
    <w:rPr>
      <w:i/>
      <w:iCs/>
      <w:color w:val="000000"/>
    </w:rPr>
  </w:style>
  <w:style w:type="character" w:customStyle="1" w:styleId="QuoteChar">
    <w:name w:val="Quote Char"/>
    <w:basedOn w:val="DefaultParagraphFont"/>
    <w:link w:val="Quote"/>
    <w:uiPriority w:val="29"/>
    <w:rsid w:val="00E55762"/>
    <w:rPr>
      <w:rFonts w:ascii="Times New Roman" w:eastAsia="SimSun" w:hAnsi="Times New Roman" w:cs="Times New Roman"/>
      <w:i/>
      <w:iCs/>
      <w:color w:val="000000"/>
      <w:sz w:val="20"/>
      <w:szCs w:val="24"/>
    </w:rPr>
  </w:style>
  <w:style w:type="paragraph" w:styleId="Salutation">
    <w:name w:val="Salutation"/>
    <w:basedOn w:val="Normal"/>
    <w:next w:val="Normal"/>
    <w:link w:val="SalutationChar"/>
    <w:rsid w:val="00E55762"/>
  </w:style>
  <w:style w:type="character" w:customStyle="1" w:styleId="SalutationChar">
    <w:name w:val="Salutation Char"/>
    <w:basedOn w:val="DefaultParagraphFont"/>
    <w:link w:val="Salutation"/>
    <w:rsid w:val="00E55762"/>
    <w:rPr>
      <w:rFonts w:ascii="Times New Roman" w:eastAsia="SimSun" w:hAnsi="Times New Roman" w:cs="Times New Roman"/>
      <w:sz w:val="20"/>
      <w:szCs w:val="24"/>
    </w:rPr>
  </w:style>
  <w:style w:type="paragraph" w:styleId="Signature">
    <w:name w:val="Signature"/>
    <w:basedOn w:val="Normal"/>
    <w:link w:val="SignatureChar"/>
    <w:uiPriority w:val="99"/>
    <w:rsid w:val="00E55762"/>
    <w:pPr>
      <w:ind w:left="4320"/>
    </w:pPr>
  </w:style>
  <w:style w:type="character" w:customStyle="1" w:styleId="SignatureChar">
    <w:name w:val="Signature Char"/>
    <w:basedOn w:val="DefaultParagraphFont"/>
    <w:link w:val="Signature"/>
    <w:uiPriority w:val="99"/>
    <w:rsid w:val="00E55762"/>
    <w:rPr>
      <w:rFonts w:ascii="Times New Roman" w:eastAsia="SimSun" w:hAnsi="Times New Roman" w:cs="Times New Roman"/>
      <w:sz w:val="20"/>
      <w:szCs w:val="24"/>
    </w:rPr>
  </w:style>
  <w:style w:type="table" w:styleId="Table3Deffects1">
    <w:name w:val="Table 3D effects 1"/>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E55762"/>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E55762"/>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E55762"/>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E55762"/>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E55762"/>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E55762"/>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5762"/>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Grid2">
    <w:name w:val="Table Grid 2"/>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0">
    <w:name w:val="Table Grid 3"/>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E55762"/>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uiPriority w:val="99"/>
    <w:rsid w:val="00E55762"/>
    <w:pPr>
      <w:ind w:left="240" w:hanging="240"/>
    </w:pPr>
  </w:style>
  <w:style w:type="paragraph" w:styleId="TableofFigures">
    <w:name w:val="table of figures"/>
    <w:basedOn w:val="Normal"/>
    <w:next w:val="Normal"/>
    <w:uiPriority w:val="99"/>
    <w:rsid w:val="00E55762"/>
  </w:style>
  <w:style w:type="table" w:styleId="TableProfessional">
    <w:name w:val="Table Professional"/>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E55762"/>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E55762"/>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rsid w:val="00E55762"/>
    <w:pPr>
      <w:spacing w:after="240" w:line="240" w:lineRule="auto"/>
      <w:jc w:val="both"/>
    </w:pPr>
    <w:rPr>
      <w:rFonts w:ascii="Times New Roman" w:eastAsia="SimSun" w:hAnsi="Times New Roman" w:cs="Simplified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55762"/>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styleId="TableWeb2">
    <w:name w:val="Table Web 2"/>
    <w:basedOn w:val="TableNormal"/>
    <w:rsid w:val="00E55762"/>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styleId="TableWeb3">
    <w:name w:val="Table Web 3"/>
    <w:basedOn w:val="TableNormal"/>
    <w:rsid w:val="00E55762"/>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paragraph" w:styleId="TOAHeading">
    <w:name w:val="toa heading"/>
    <w:basedOn w:val="Normal"/>
    <w:next w:val="Normal"/>
    <w:uiPriority w:val="99"/>
    <w:rsid w:val="00E55762"/>
    <w:pPr>
      <w:spacing w:before="120"/>
    </w:pPr>
    <w:rPr>
      <w:rFonts w:cs="Simplified Arabic"/>
      <w:b/>
      <w:bCs/>
    </w:rPr>
  </w:style>
  <w:style w:type="paragraph" w:customStyle="1" w:styleId="Regulatory">
    <w:name w:val="Regulatory"/>
    <w:basedOn w:val="Normal"/>
    <w:next w:val="Footer"/>
    <w:semiHidden/>
    <w:rsid w:val="00E55762"/>
    <w:pPr>
      <w:spacing w:before="120" w:line="288" w:lineRule="auto"/>
      <w:jc w:val="left"/>
    </w:pPr>
    <w:rPr>
      <w:rFonts w:ascii="Arial" w:hAnsi="Arial"/>
      <w:caps/>
      <w:spacing w:val="8"/>
      <w:sz w:val="14"/>
      <w:szCs w:val="14"/>
    </w:rPr>
  </w:style>
  <w:style w:type="paragraph" w:customStyle="1" w:styleId="NewNormal">
    <w:name w:val="New Normal"/>
    <w:basedOn w:val="Normal"/>
    <w:link w:val="NewNormalChar"/>
    <w:rsid w:val="00E55762"/>
    <w:pPr>
      <w:autoSpaceDE w:val="0"/>
      <w:autoSpaceDN w:val="0"/>
      <w:adjustRightInd w:val="0"/>
      <w:spacing w:after="240"/>
      <w:ind w:firstLine="629"/>
    </w:pPr>
    <w:rPr>
      <w:rFonts w:eastAsia="Times New Roman"/>
      <w:szCs w:val="20"/>
      <w:lang w:val="en-US" w:eastAsia="en-US" w:bidi="ar-SA"/>
    </w:rPr>
  </w:style>
  <w:style w:type="character" w:customStyle="1" w:styleId="NewNormalChar">
    <w:name w:val="New Normal Char"/>
    <w:basedOn w:val="DefaultParagraphFont"/>
    <w:link w:val="NewNormal"/>
    <w:rsid w:val="00E55762"/>
    <w:rPr>
      <w:rFonts w:ascii="Times New Roman" w:eastAsia="Times New Roman" w:hAnsi="Times New Roman" w:cs="Times New Roman"/>
      <w:sz w:val="20"/>
      <w:szCs w:val="20"/>
      <w:lang w:val="en-US" w:eastAsia="en-US" w:bidi="ar-SA"/>
    </w:rPr>
  </w:style>
  <w:style w:type="character" w:styleId="FollowedHyperlink">
    <w:name w:val="FollowedHyperlink"/>
    <w:basedOn w:val="DefaultParagraphFont"/>
    <w:uiPriority w:val="99"/>
    <w:rsid w:val="00E55762"/>
    <w:rPr>
      <w:color w:val="800080"/>
      <w:u w:val="single"/>
    </w:rPr>
  </w:style>
  <w:style w:type="paragraph" w:styleId="ListBullet">
    <w:name w:val="List Bullet"/>
    <w:basedOn w:val="Normal"/>
    <w:uiPriority w:val="99"/>
    <w:rsid w:val="00E55762"/>
    <w:pPr>
      <w:tabs>
        <w:tab w:val="num" w:pos="720"/>
      </w:tabs>
      <w:spacing w:after="160"/>
      <w:ind w:left="720" w:hanging="720"/>
      <w:jc w:val="left"/>
    </w:pPr>
    <w:rPr>
      <w:rFonts w:eastAsia="Times New Roman"/>
      <w:lang w:eastAsia="en-GB" w:bidi="ar-SA"/>
    </w:rPr>
  </w:style>
  <w:style w:type="paragraph" w:customStyle="1" w:styleId="Body">
    <w:name w:val="Body"/>
    <w:basedOn w:val="Normal"/>
    <w:rsid w:val="00E55762"/>
    <w:pPr>
      <w:spacing w:after="140" w:line="290" w:lineRule="auto"/>
    </w:pPr>
    <w:rPr>
      <w:rFonts w:ascii="Arial" w:eastAsia="Times New Roman" w:hAnsi="Arial"/>
      <w:kern w:val="20"/>
      <w:lang w:eastAsia="en-US" w:bidi="ar-SA"/>
    </w:rPr>
  </w:style>
  <w:style w:type="paragraph" w:customStyle="1" w:styleId="Bullet">
    <w:name w:val="Bullet"/>
    <w:basedOn w:val="BodyText"/>
    <w:next w:val="BodyText"/>
    <w:rsid w:val="00E55762"/>
    <w:pPr>
      <w:ind w:left="680" w:hanging="680"/>
    </w:pPr>
  </w:style>
  <w:style w:type="paragraph" w:customStyle="1" w:styleId="Bullet1">
    <w:name w:val="Bullet 1"/>
    <w:basedOn w:val="BodyText"/>
    <w:next w:val="BodyText"/>
    <w:rsid w:val="00E55762"/>
    <w:pPr>
      <w:ind w:left="1360" w:hanging="680"/>
    </w:pPr>
  </w:style>
  <w:style w:type="paragraph" w:customStyle="1" w:styleId="Bullet2">
    <w:name w:val="Bullet 2"/>
    <w:basedOn w:val="BodyText"/>
    <w:next w:val="BodyText"/>
    <w:rsid w:val="00E55762"/>
    <w:pPr>
      <w:ind w:left="2041" w:hanging="680"/>
    </w:pPr>
  </w:style>
  <w:style w:type="paragraph" w:customStyle="1" w:styleId="Bullet3">
    <w:name w:val="Bullet 3"/>
    <w:basedOn w:val="BodyText"/>
    <w:next w:val="BodyText"/>
    <w:rsid w:val="00E55762"/>
    <w:pPr>
      <w:ind w:left="2041" w:hanging="680"/>
    </w:pPr>
  </w:style>
  <w:style w:type="numbering" w:customStyle="1" w:styleId="Formatmall1">
    <w:name w:val="Formatmall1"/>
    <w:basedOn w:val="NoList"/>
    <w:rsid w:val="00E55762"/>
    <w:pPr>
      <w:numPr>
        <w:numId w:val="9"/>
      </w:numPr>
    </w:pPr>
  </w:style>
  <w:style w:type="numbering" w:customStyle="1" w:styleId="FormatmallNumreradlista">
    <w:name w:val="Formatmall Numrerad lista"/>
    <w:basedOn w:val="NoList"/>
    <w:rsid w:val="00E55762"/>
    <w:pPr>
      <w:numPr>
        <w:numId w:val="8"/>
      </w:numPr>
    </w:pPr>
  </w:style>
  <w:style w:type="numbering" w:customStyle="1" w:styleId="BackgroundList">
    <w:name w:val="BackgroundList"/>
    <w:rsid w:val="00E55762"/>
    <w:pPr>
      <w:numPr>
        <w:numId w:val="10"/>
      </w:numPr>
    </w:pPr>
  </w:style>
  <w:style w:type="numbering" w:customStyle="1" w:styleId="NoList1">
    <w:name w:val="No List1"/>
    <w:next w:val="NoList"/>
    <w:uiPriority w:val="99"/>
    <w:unhideWhenUsed/>
    <w:rsid w:val="00E55762"/>
  </w:style>
  <w:style w:type="table" w:customStyle="1" w:styleId="MSA">
    <w:name w:val="MSA"/>
    <w:basedOn w:val="TableNormal"/>
    <w:rsid w:val="00E55762"/>
    <w:pPr>
      <w:spacing w:after="240" w:line="240" w:lineRule="auto"/>
    </w:pPr>
    <w:rPr>
      <w:rFonts w:ascii="Times New Roman" w:eastAsia="Times New Roman" w:hAnsi="Times New Roman" w:cs="Times New Roman"/>
      <w:sz w:val="20"/>
      <w:szCs w:val="20"/>
      <w:lang w:val="sv-SE" w:eastAsia="sv-SE" w:bidi="ar-SA"/>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character" w:customStyle="1" w:styleId="Title3Char">
    <w:name w:val="Title 3 Char"/>
    <w:basedOn w:val="DefaultParagraphFont"/>
    <w:link w:val="Title3"/>
    <w:rsid w:val="00E55762"/>
    <w:rPr>
      <w:rFonts w:ascii="Times New Roman Bold" w:eastAsia="SimSun" w:hAnsi="Times New Roman Bold" w:cs="Times"/>
      <w:b/>
      <w:caps/>
      <w:sz w:val="20"/>
      <w:szCs w:val="24"/>
    </w:rPr>
  </w:style>
  <w:style w:type="numbering" w:customStyle="1" w:styleId="Formatmall11">
    <w:name w:val="Formatmall11"/>
    <w:basedOn w:val="NoList"/>
    <w:rsid w:val="00E55762"/>
  </w:style>
  <w:style w:type="numbering" w:customStyle="1" w:styleId="FormatmallNumreradlista1">
    <w:name w:val="Formatmall Numrerad lista1"/>
    <w:basedOn w:val="NoList"/>
    <w:rsid w:val="00E55762"/>
  </w:style>
  <w:style w:type="numbering" w:customStyle="1" w:styleId="BackgroundList1">
    <w:name w:val="BackgroundList1"/>
    <w:rsid w:val="00E55762"/>
  </w:style>
  <w:style w:type="character" w:styleId="HTMLAcronym">
    <w:name w:val="HTML Acronym"/>
    <w:basedOn w:val="DefaultParagraphFont"/>
    <w:semiHidden/>
    <w:rsid w:val="00E55762"/>
    <w:rPr>
      <w:lang w:val="sv-SE"/>
    </w:rPr>
  </w:style>
  <w:style w:type="character" w:styleId="HTMLCite">
    <w:name w:val="HTML Cite"/>
    <w:basedOn w:val="DefaultParagraphFont"/>
    <w:semiHidden/>
    <w:rsid w:val="00E55762"/>
    <w:rPr>
      <w:i/>
      <w:iCs/>
      <w:lang w:val="sv-SE"/>
    </w:rPr>
  </w:style>
  <w:style w:type="character" w:styleId="HTMLDefinition">
    <w:name w:val="HTML Definition"/>
    <w:basedOn w:val="DefaultParagraphFont"/>
    <w:semiHidden/>
    <w:rsid w:val="00E55762"/>
    <w:rPr>
      <w:i/>
      <w:iCs/>
      <w:lang w:val="sv-SE"/>
    </w:rPr>
  </w:style>
  <w:style w:type="character" w:styleId="HTMLSample">
    <w:name w:val="HTML Sample"/>
    <w:basedOn w:val="DefaultParagraphFont"/>
    <w:semiHidden/>
    <w:rsid w:val="00E55762"/>
    <w:rPr>
      <w:rFonts w:ascii="Courier New" w:hAnsi="Courier New" w:cs="Courier New"/>
      <w:lang w:val="sv-SE"/>
    </w:rPr>
  </w:style>
  <w:style w:type="character" w:styleId="HTMLCode">
    <w:name w:val="HTML Code"/>
    <w:basedOn w:val="DefaultParagraphFont"/>
    <w:semiHidden/>
    <w:rsid w:val="00E55762"/>
    <w:rPr>
      <w:rFonts w:ascii="Courier New" w:hAnsi="Courier New" w:cs="Courier New"/>
      <w:sz w:val="20"/>
      <w:szCs w:val="20"/>
      <w:lang w:val="sv-SE"/>
    </w:rPr>
  </w:style>
  <w:style w:type="character" w:styleId="HTMLTypewriter">
    <w:name w:val="HTML Typewriter"/>
    <w:basedOn w:val="DefaultParagraphFont"/>
    <w:semiHidden/>
    <w:rsid w:val="00E55762"/>
    <w:rPr>
      <w:rFonts w:ascii="Courier New" w:hAnsi="Courier New" w:cs="Courier New"/>
      <w:sz w:val="20"/>
      <w:szCs w:val="20"/>
      <w:lang w:val="sv-SE"/>
    </w:rPr>
  </w:style>
  <w:style w:type="character" w:styleId="HTMLKeyboard">
    <w:name w:val="HTML Keyboard"/>
    <w:basedOn w:val="DefaultParagraphFont"/>
    <w:semiHidden/>
    <w:rsid w:val="00E55762"/>
    <w:rPr>
      <w:rFonts w:ascii="Courier New" w:hAnsi="Courier New" w:cs="Courier New"/>
      <w:sz w:val="20"/>
      <w:szCs w:val="20"/>
      <w:lang w:val="sv-SE"/>
    </w:rPr>
  </w:style>
  <w:style w:type="character" w:styleId="HTMLVariable">
    <w:name w:val="HTML Variable"/>
    <w:basedOn w:val="DefaultParagraphFont"/>
    <w:semiHidden/>
    <w:rsid w:val="00E55762"/>
    <w:rPr>
      <w:i/>
      <w:iCs/>
      <w:lang w:val="sv-SE"/>
    </w:rPr>
  </w:style>
  <w:style w:type="character" w:styleId="LineNumber">
    <w:name w:val="line number"/>
    <w:basedOn w:val="DefaultParagraphFont"/>
    <w:semiHidden/>
    <w:rsid w:val="00E55762"/>
    <w:rPr>
      <w:lang w:val="sv-SE"/>
    </w:rPr>
  </w:style>
  <w:style w:type="paragraph" w:styleId="ListNumber4">
    <w:name w:val="List Number 4"/>
    <w:basedOn w:val="Normal"/>
    <w:semiHidden/>
    <w:rsid w:val="00E55762"/>
    <w:pPr>
      <w:tabs>
        <w:tab w:val="num" w:pos="1209"/>
      </w:tabs>
      <w:spacing w:after="240"/>
      <w:ind w:left="1209" w:hanging="360"/>
      <w:jc w:val="left"/>
    </w:pPr>
    <w:rPr>
      <w:rFonts w:eastAsia="Times New Roman"/>
      <w:sz w:val="24"/>
      <w:lang w:val="sv-SE" w:eastAsia="sv-SE" w:bidi="ar-SA"/>
    </w:rPr>
  </w:style>
  <w:style w:type="paragraph" w:styleId="ListBullet2">
    <w:name w:val="List Bullet 2"/>
    <w:basedOn w:val="Normal"/>
    <w:semiHidden/>
    <w:rsid w:val="00E55762"/>
    <w:pPr>
      <w:tabs>
        <w:tab w:val="num" w:pos="643"/>
      </w:tabs>
      <w:spacing w:after="240"/>
      <w:ind w:left="643" w:hanging="360"/>
      <w:jc w:val="left"/>
    </w:pPr>
    <w:rPr>
      <w:rFonts w:eastAsia="Times New Roman"/>
      <w:sz w:val="24"/>
      <w:lang w:val="sv-SE" w:eastAsia="sv-SE" w:bidi="ar-SA"/>
    </w:rPr>
  </w:style>
  <w:style w:type="paragraph" w:styleId="ListBullet3">
    <w:name w:val="List Bullet 3"/>
    <w:basedOn w:val="Normal"/>
    <w:semiHidden/>
    <w:rsid w:val="00E55762"/>
    <w:pPr>
      <w:tabs>
        <w:tab w:val="num" w:pos="926"/>
      </w:tabs>
      <w:spacing w:after="240"/>
      <w:ind w:left="926" w:hanging="360"/>
      <w:jc w:val="left"/>
    </w:pPr>
    <w:rPr>
      <w:rFonts w:eastAsia="Times New Roman"/>
      <w:sz w:val="24"/>
      <w:lang w:val="sv-SE" w:eastAsia="sv-SE" w:bidi="ar-SA"/>
    </w:rPr>
  </w:style>
  <w:style w:type="paragraph" w:styleId="ListBullet4">
    <w:name w:val="List Bullet 4"/>
    <w:basedOn w:val="Normal"/>
    <w:semiHidden/>
    <w:rsid w:val="00E55762"/>
    <w:pPr>
      <w:tabs>
        <w:tab w:val="num" w:pos="1209"/>
      </w:tabs>
      <w:spacing w:after="240"/>
      <w:ind w:left="1209" w:hanging="360"/>
      <w:jc w:val="left"/>
    </w:pPr>
    <w:rPr>
      <w:rFonts w:eastAsia="Times New Roman"/>
      <w:sz w:val="24"/>
      <w:lang w:val="sv-SE" w:eastAsia="sv-SE" w:bidi="ar-SA"/>
    </w:rPr>
  </w:style>
  <w:style w:type="paragraph" w:styleId="ListBullet5">
    <w:name w:val="List Bullet 5"/>
    <w:basedOn w:val="Normal"/>
    <w:semiHidden/>
    <w:rsid w:val="00E55762"/>
    <w:pPr>
      <w:tabs>
        <w:tab w:val="num" w:pos="1492"/>
      </w:tabs>
      <w:spacing w:after="240"/>
      <w:ind w:left="1492" w:hanging="360"/>
      <w:jc w:val="left"/>
    </w:pPr>
    <w:rPr>
      <w:rFonts w:eastAsia="Times New Roman"/>
      <w:sz w:val="24"/>
      <w:lang w:val="sv-SE" w:eastAsia="sv-SE" w:bidi="ar-SA"/>
    </w:rPr>
  </w:style>
  <w:style w:type="table" w:customStyle="1" w:styleId="TableGrid10">
    <w:name w:val="Table Grid1"/>
    <w:basedOn w:val="TableNormal"/>
    <w:next w:val="TableGrid"/>
    <w:rsid w:val="00E55762"/>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rsid w:val="00E55762"/>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nt1">
    <w:name w:val="Tabellrutnät1"/>
    <w:basedOn w:val="TableNormal"/>
    <w:next w:val="TableGrid"/>
    <w:uiPriority w:val="59"/>
    <w:rsid w:val="00E55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kNamn">
    <w:name w:val="zDokNamn"/>
    <w:semiHidden/>
    <w:rsid w:val="00E55762"/>
    <w:rPr>
      <w:rFonts w:ascii="Arial" w:hAnsi="Arial"/>
      <w:caps/>
      <w:sz w:val="12"/>
    </w:rPr>
  </w:style>
  <w:style w:type="paragraph" w:customStyle="1" w:styleId="zStatus">
    <w:name w:val="zStatus"/>
    <w:basedOn w:val="Normal"/>
    <w:semiHidden/>
    <w:rsid w:val="00E55762"/>
    <w:pPr>
      <w:tabs>
        <w:tab w:val="left" w:pos="1134"/>
        <w:tab w:val="left" w:pos="1984"/>
        <w:tab w:val="left" w:pos="2835"/>
        <w:tab w:val="center" w:pos="4394"/>
        <w:tab w:val="left" w:pos="4819"/>
        <w:tab w:val="left" w:pos="7937"/>
        <w:tab w:val="right" w:pos="8789"/>
      </w:tabs>
      <w:spacing w:after="0"/>
      <w:jc w:val="right"/>
    </w:pPr>
    <w:rPr>
      <w:rFonts w:eastAsia="Times New Roman"/>
      <w:lang w:val="sv-SE" w:eastAsia="sv-SE" w:bidi="ar-SA"/>
    </w:rPr>
  </w:style>
  <w:style w:type="character" w:customStyle="1" w:styleId="zDatum">
    <w:name w:val="zDatum"/>
    <w:semiHidden/>
    <w:rsid w:val="00E55762"/>
  </w:style>
  <w:style w:type="paragraph" w:customStyle="1" w:styleId="zBilaga">
    <w:name w:val="zBilaga"/>
    <w:basedOn w:val="Normal"/>
    <w:semiHidden/>
    <w:rsid w:val="00E55762"/>
    <w:pPr>
      <w:tabs>
        <w:tab w:val="left" w:pos="1134"/>
        <w:tab w:val="left" w:pos="1984"/>
        <w:tab w:val="left" w:pos="2835"/>
        <w:tab w:val="center" w:pos="4394"/>
        <w:tab w:val="left" w:pos="4819"/>
        <w:tab w:val="left" w:pos="7937"/>
        <w:tab w:val="right" w:pos="8789"/>
      </w:tabs>
      <w:spacing w:after="0"/>
      <w:jc w:val="right"/>
    </w:pPr>
    <w:rPr>
      <w:rFonts w:eastAsia="Times New Roman"/>
      <w:b/>
      <w:bCs/>
      <w:lang w:val="sv-SE" w:eastAsia="sv-SE" w:bidi="ar-SA"/>
    </w:rPr>
  </w:style>
  <w:style w:type="paragraph" w:customStyle="1" w:styleId="BalloonText1">
    <w:name w:val="Balloon Text1"/>
    <w:basedOn w:val="Normal"/>
    <w:semiHidden/>
    <w:rsid w:val="00E55762"/>
    <w:pPr>
      <w:spacing w:after="0"/>
      <w:jc w:val="left"/>
    </w:pPr>
    <w:rPr>
      <w:rFonts w:ascii="Tahoma" w:eastAsia="Times New Roman" w:hAnsi="Tahoma" w:cs="Tahoma"/>
      <w:sz w:val="16"/>
      <w:szCs w:val="16"/>
      <w:lang w:val="sv-SE"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notes.xml" Type="http://schemas.openxmlformats.org/officeDocument/2006/relationships/footnotes" Id="rId1"></Relationship><Relationship Target="footer1.xml" Type="http://schemas.openxmlformats.org/officeDocument/2006/relationships/footer" Id="rId12"></Relationship><Relationship Target="header1.xml" Type="http://schemas.openxmlformats.org/officeDocument/2006/relationships/header" Id="rId13"></Relationship><Relationship Target="footer2.xml" Type="http://schemas.openxmlformats.org/officeDocument/2006/relationships/footer" Id="rId14"></Relationship><Relationship Target="media/image1.png" Type="http://schemas.openxmlformats.org/officeDocument/2006/relationships/image" Id="rId15"></Relationship><Relationship Target="footer3.xml" Type="http://schemas.openxmlformats.org/officeDocument/2006/relationships/footer" Id="rId16"></Relationship><Relationship Target="header2.xml" Type="http://schemas.openxmlformats.org/officeDocument/2006/relationships/header" Id="rId17"></Relationship><Relationship Target="footer4.xml" Type="http://schemas.openxmlformats.org/officeDocument/2006/relationships/footer" Id="rId18"></Relationship><Relationship Target="media/image2.emf" Type="http://schemas.openxmlformats.org/officeDocument/2006/relationships/image" Id="rId19"></Relationship><Relationship Target="settings.xml" Type="http://schemas.openxmlformats.org/officeDocument/2006/relationships/settings" Id="rId2"></Relationship><Relationship Target="media/image3.png" Type="http://schemas.openxmlformats.org/officeDocument/2006/relationships/image" Id="rId20"></Relationship><Relationship Target="footer5.xml" Type="http://schemas.openxmlformats.org/officeDocument/2006/relationships/footer" Id="rId21"></Relationship><Relationship Target="footer6.xml" Type="http://schemas.openxmlformats.org/officeDocument/2006/relationships/footer" Id="rId22"></Relationship><Relationship Target="glossary/document.xml" Type="http://schemas.openxmlformats.org/officeDocument/2006/relationships/glossaryDocument" Id="rId23"></Relationship><Relationship Target="theme/theme1.xml" Type="http://schemas.openxmlformats.org/officeDocument/2006/relationships/theme" Id="rId24"></Relationship><Relationship Target="numbering.xml" Type="http://schemas.openxmlformats.org/officeDocument/2006/relationships/numbering" Id="rId25"></Relationship><Relationship Target="styles.xml" Type="http://schemas.openxmlformats.org/officeDocument/2006/relationships/styles" Id="rId26"></Relationship><Relationship Target="webSettings.xml" Type="http://schemas.openxmlformats.org/officeDocument/2006/relationships/webSettings" Id="rId3"></Relationship><Relationship Target="fontTable.xml" Type="http://schemas.openxmlformats.org/officeDocument/2006/relationships/fontTable" Id="rId4"></Relationship></Relationships>
</file>

<file path=word/_rels/settings.xml.rels><?xml version="1.0" encoding="UTF-8" ?><Relationships xmlns="http://schemas.openxmlformats.org/package/2006/relationships"><Relationship TargetMode="External" Target="file:///C:\Program%20Files\Microsoft%20Office\Templates\CCTemplates\Local\1%20&#8211;%20Additional%20CC%20Templates\Offering%20Circular.dotm"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B72D0E0-8FA4-4371-9C17-16C350D592E3}"/>
      </w:docPartPr>
      <w:docPartBody>
        <w:p w:rsidR="00CF411C">
          <w:r w:rsidRPr="00A2365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compat>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B5C35"/>
    <w:rPr>
      <w:color w:val="808080"/>
    </w:rPr>
  </w:style>
  <w:style w:type="paragraph" w:customStyle="1" w:styleId="6BBDFA8B8032449D91269812745707AC">
    <w:name w:val="6BBDFA8B8032449D91269812745707AC"/>
    <w:rsid w:val="00A854C9"/>
  </w:style>
  <w:style w:type="paragraph" w:customStyle="1" w:styleId="B1E95FE6024C4BCFB222AEF79CFF755A">
    <w:name w:val="B1E95FE6024C4BCFB222AEF79CFF755A"/>
    <w:rsid w:val="00A854C9"/>
  </w:style>
  <w:style w:type="paragraph" w:customStyle="1" w:styleId="4FEB137CAF4148758A76ED6FD5BF2F0B">
    <w:name w:val="4FEB137CAF4148758A76ED6FD5BF2F0B"/>
    <w:rsid w:val="00A854C9"/>
  </w:style>
  <w:style w:type="paragraph" w:customStyle="1" w:styleId="46F512714AE64629BB1AD265CB2A118C">
    <w:name w:val="46F512714AE64629BB1AD265CB2A118C"/>
    <w:rsid w:val="000B5C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